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ED1" w:rsidRPr="00FA373E" w:rsidRDefault="00050ED1" w:rsidP="00050ED1">
      <w:pPr>
        <w:spacing w:line="276" w:lineRule="auto"/>
        <w:jc w:val="center"/>
        <w:rPr>
          <w:rFonts w:ascii="Times New Roman Bold" w:hAnsi="Times New Roman Bold"/>
          <w:b/>
          <w:smallCaps/>
          <w:sz w:val="34"/>
          <w:szCs w:val="36"/>
        </w:rPr>
      </w:pPr>
      <w:r w:rsidRPr="00FA373E">
        <w:rPr>
          <w:rFonts w:ascii="Times New Roman Bold" w:hAnsi="Times New Roman Bold"/>
          <w:b/>
          <w:smallCaps/>
          <w:sz w:val="34"/>
          <w:szCs w:val="36"/>
        </w:rPr>
        <w:t>Invitation to Bid</w:t>
      </w:r>
    </w:p>
    <w:p w:rsidR="00050ED1" w:rsidRPr="00FA373E" w:rsidRDefault="00050ED1" w:rsidP="00050ED1">
      <w:pPr>
        <w:spacing w:line="276" w:lineRule="auto"/>
        <w:jc w:val="center"/>
        <w:rPr>
          <w:b/>
          <w:sz w:val="28"/>
          <w:szCs w:val="32"/>
        </w:rPr>
      </w:pPr>
      <w:r w:rsidRPr="00FA373E">
        <w:rPr>
          <w:b/>
          <w:sz w:val="28"/>
          <w:szCs w:val="32"/>
        </w:rPr>
        <w:t xml:space="preserve">Fit-Out, Repair, Supply and Delivery of Office Furniture and Equipment for the Subic-Clark Railway Project </w:t>
      </w:r>
    </w:p>
    <w:p w:rsidR="00050ED1" w:rsidRPr="00FA373E" w:rsidRDefault="00050ED1" w:rsidP="00050ED1">
      <w:pPr>
        <w:spacing w:line="276" w:lineRule="auto"/>
        <w:jc w:val="center"/>
        <w:rPr>
          <w:b/>
          <w:sz w:val="28"/>
          <w:szCs w:val="32"/>
        </w:rPr>
      </w:pPr>
      <w:r w:rsidRPr="00FA373E">
        <w:rPr>
          <w:b/>
          <w:sz w:val="28"/>
          <w:szCs w:val="32"/>
        </w:rPr>
        <w:t>Management Office</w:t>
      </w:r>
    </w:p>
    <w:p w:rsidR="00050ED1" w:rsidRPr="0057015E" w:rsidRDefault="00050ED1" w:rsidP="00050ED1">
      <w:pPr>
        <w:spacing w:line="276" w:lineRule="auto"/>
        <w:jc w:val="center"/>
        <w:rPr>
          <w:b/>
          <w:sz w:val="32"/>
          <w:szCs w:val="32"/>
        </w:rPr>
      </w:pPr>
    </w:p>
    <w:p w:rsidR="00050ED1" w:rsidRPr="00FA373E" w:rsidRDefault="00050ED1" w:rsidP="00050ED1">
      <w:pPr>
        <w:numPr>
          <w:ilvl w:val="0"/>
          <w:numId w:val="1"/>
        </w:numPr>
        <w:spacing w:line="276" w:lineRule="auto"/>
        <w:rPr>
          <w:sz w:val="22"/>
        </w:rPr>
      </w:pPr>
      <w:r w:rsidRPr="00FA373E">
        <w:rPr>
          <w:sz w:val="22"/>
        </w:rPr>
        <w:t xml:space="preserve">The </w:t>
      </w:r>
      <w:r w:rsidRPr="00FA373E">
        <w:rPr>
          <w:b/>
          <w:sz w:val="22"/>
        </w:rPr>
        <w:t>BASES CONVERSION AND DEVELOPMENT AUTHORITY</w:t>
      </w:r>
      <w:r w:rsidRPr="00FA373E">
        <w:rPr>
          <w:sz w:val="22"/>
        </w:rPr>
        <w:t xml:space="preserve"> (hereinafter referred to as </w:t>
      </w:r>
      <w:r w:rsidRPr="00FA373E">
        <w:rPr>
          <w:b/>
          <w:sz w:val="22"/>
        </w:rPr>
        <w:t>BCDA</w:t>
      </w:r>
      <w:r w:rsidRPr="00FA373E">
        <w:rPr>
          <w:sz w:val="22"/>
        </w:rPr>
        <w:t>) through the General Appropriations Act (GAA) 2019 with approved SARO No. SARO-BMB-C-19-0012232 and NCA No. NCA-BMB-C-19-0017346  intends to apply the following amounts being the Approved Budget for the Contract (ABC) for the payment of the contract for each lot:</w:t>
      </w:r>
    </w:p>
    <w:p w:rsidR="00050ED1" w:rsidRPr="00FA373E" w:rsidRDefault="00050ED1" w:rsidP="00050ED1">
      <w:pPr>
        <w:spacing w:line="276" w:lineRule="auto"/>
        <w:rPr>
          <w:sz w:val="22"/>
        </w:rPr>
      </w:pPr>
    </w:p>
    <w:tbl>
      <w:tblPr>
        <w:tblStyle w:val="TableGrid"/>
        <w:tblW w:w="8249" w:type="dxa"/>
        <w:tblInd w:w="720" w:type="dxa"/>
        <w:tblLook w:val="04A0" w:firstRow="1" w:lastRow="0" w:firstColumn="1" w:lastColumn="0" w:noHBand="0" w:noVBand="1"/>
      </w:tblPr>
      <w:tblGrid>
        <w:gridCol w:w="769"/>
        <w:gridCol w:w="905"/>
        <w:gridCol w:w="5214"/>
        <w:gridCol w:w="1361"/>
      </w:tblGrid>
      <w:tr w:rsidR="00050ED1" w:rsidRPr="00FA373E" w:rsidTr="00B77767">
        <w:trPr>
          <w:trHeight w:val="434"/>
        </w:trPr>
        <w:tc>
          <w:tcPr>
            <w:tcW w:w="769" w:type="dxa"/>
          </w:tcPr>
          <w:p w:rsidR="00050ED1" w:rsidRPr="00FA373E" w:rsidRDefault="00050ED1" w:rsidP="00B77767">
            <w:pPr>
              <w:pStyle w:val="NoSpacing"/>
              <w:jc w:val="center"/>
              <w:rPr>
                <w:b/>
                <w:sz w:val="18"/>
              </w:rPr>
            </w:pPr>
            <w:r w:rsidRPr="00FA373E">
              <w:rPr>
                <w:b/>
                <w:sz w:val="18"/>
              </w:rPr>
              <w:t>Item</w:t>
            </w:r>
          </w:p>
        </w:tc>
        <w:tc>
          <w:tcPr>
            <w:tcW w:w="6119" w:type="dxa"/>
            <w:gridSpan w:val="2"/>
          </w:tcPr>
          <w:p w:rsidR="00050ED1" w:rsidRPr="00FA373E" w:rsidRDefault="00050ED1" w:rsidP="00B77767">
            <w:pPr>
              <w:pStyle w:val="NoSpacing"/>
              <w:jc w:val="center"/>
              <w:rPr>
                <w:b/>
                <w:sz w:val="18"/>
              </w:rPr>
            </w:pPr>
            <w:r w:rsidRPr="00FA373E">
              <w:rPr>
                <w:b/>
                <w:sz w:val="18"/>
              </w:rPr>
              <w:t>DESCRIPTION</w:t>
            </w:r>
          </w:p>
        </w:tc>
        <w:tc>
          <w:tcPr>
            <w:tcW w:w="1361" w:type="dxa"/>
          </w:tcPr>
          <w:p w:rsidR="00050ED1" w:rsidRPr="00FA373E" w:rsidRDefault="00050ED1" w:rsidP="00B77767">
            <w:pPr>
              <w:pStyle w:val="NoSpacing"/>
              <w:jc w:val="center"/>
              <w:rPr>
                <w:b/>
                <w:sz w:val="18"/>
              </w:rPr>
            </w:pPr>
            <w:r w:rsidRPr="00FA373E">
              <w:rPr>
                <w:b/>
                <w:sz w:val="18"/>
              </w:rPr>
              <w:t>ABC (</w:t>
            </w:r>
            <w:proofErr w:type="spellStart"/>
            <w:r w:rsidRPr="00FA373E">
              <w:rPr>
                <w:b/>
                <w:sz w:val="18"/>
              </w:rPr>
              <w:t>PhP</w:t>
            </w:r>
            <w:proofErr w:type="spellEnd"/>
            <w:r w:rsidRPr="00FA373E">
              <w:rPr>
                <w:b/>
                <w:sz w:val="18"/>
              </w:rPr>
              <w:t>)</w:t>
            </w:r>
          </w:p>
        </w:tc>
      </w:tr>
      <w:tr w:rsidR="00050ED1" w:rsidRPr="00FA373E" w:rsidTr="00B77767">
        <w:trPr>
          <w:trHeight w:val="523"/>
        </w:trPr>
        <w:tc>
          <w:tcPr>
            <w:tcW w:w="769" w:type="dxa"/>
          </w:tcPr>
          <w:p w:rsidR="00050ED1" w:rsidRPr="00FA373E" w:rsidRDefault="00050ED1" w:rsidP="00B77767">
            <w:pPr>
              <w:pStyle w:val="NoSpacing"/>
              <w:rPr>
                <w:szCs w:val="22"/>
              </w:rPr>
            </w:pPr>
            <w:r w:rsidRPr="00FA373E">
              <w:rPr>
                <w:szCs w:val="22"/>
              </w:rPr>
              <w:t>Lot A</w:t>
            </w:r>
          </w:p>
        </w:tc>
        <w:tc>
          <w:tcPr>
            <w:tcW w:w="6119" w:type="dxa"/>
            <w:gridSpan w:val="2"/>
          </w:tcPr>
          <w:p w:rsidR="00050ED1" w:rsidRPr="00FA373E" w:rsidRDefault="00050ED1" w:rsidP="00B77767">
            <w:pPr>
              <w:pStyle w:val="NoSpacing"/>
              <w:rPr>
                <w:szCs w:val="22"/>
              </w:rPr>
            </w:pPr>
            <w:r w:rsidRPr="00FA373E">
              <w:rPr>
                <w:szCs w:val="22"/>
              </w:rPr>
              <w:t xml:space="preserve">One (1) lot Supply of </w:t>
            </w:r>
            <w:proofErr w:type="spellStart"/>
            <w:r w:rsidRPr="00FA373E">
              <w:rPr>
                <w:szCs w:val="22"/>
              </w:rPr>
              <w:t>labor</w:t>
            </w:r>
            <w:proofErr w:type="spellEnd"/>
            <w:r w:rsidRPr="00FA373E">
              <w:rPr>
                <w:szCs w:val="22"/>
              </w:rPr>
              <w:t>, materials, and equipment for the fit-out and repair of Subic-Clark Railway Project Management Office</w:t>
            </w:r>
          </w:p>
        </w:tc>
        <w:tc>
          <w:tcPr>
            <w:tcW w:w="1361" w:type="dxa"/>
          </w:tcPr>
          <w:p w:rsidR="00050ED1" w:rsidRPr="00FA373E" w:rsidRDefault="00050ED1" w:rsidP="00B77767">
            <w:pPr>
              <w:pStyle w:val="NoSpacing"/>
              <w:jc w:val="right"/>
              <w:rPr>
                <w:b/>
                <w:szCs w:val="22"/>
              </w:rPr>
            </w:pPr>
            <w:r w:rsidRPr="00FA373E">
              <w:rPr>
                <w:b/>
                <w:szCs w:val="22"/>
              </w:rPr>
              <w:t>2,850,000</w:t>
            </w:r>
          </w:p>
        </w:tc>
      </w:tr>
      <w:tr w:rsidR="00050ED1" w:rsidRPr="00FA373E" w:rsidTr="00B77767">
        <w:trPr>
          <w:trHeight w:val="149"/>
        </w:trPr>
        <w:tc>
          <w:tcPr>
            <w:tcW w:w="769" w:type="dxa"/>
          </w:tcPr>
          <w:p w:rsidR="00050ED1" w:rsidRPr="00FA373E" w:rsidRDefault="00050ED1" w:rsidP="00B77767">
            <w:pPr>
              <w:pStyle w:val="NoSpacing"/>
              <w:rPr>
                <w:szCs w:val="22"/>
              </w:rPr>
            </w:pPr>
            <w:r w:rsidRPr="00FA373E">
              <w:rPr>
                <w:szCs w:val="22"/>
              </w:rPr>
              <w:t>Lot B</w:t>
            </w:r>
          </w:p>
        </w:tc>
        <w:tc>
          <w:tcPr>
            <w:tcW w:w="6119" w:type="dxa"/>
            <w:gridSpan w:val="2"/>
          </w:tcPr>
          <w:p w:rsidR="00050ED1" w:rsidRPr="00FA373E" w:rsidRDefault="00050ED1" w:rsidP="00B77767">
            <w:pPr>
              <w:pStyle w:val="NoSpacing"/>
              <w:rPr>
                <w:szCs w:val="22"/>
              </w:rPr>
            </w:pPr>
            <w:r w:rsidRPr="00FA373E">
              <w:rPr>
                <w:szCs w:val="22"/>
              </w:rPr>
              <w:t>One (1) lot Supply and delivery of Various Office Furniture</w:t>
            </w:r>
          </w:p>
        </w:tc>
        <w:tc>
          <w:tcPr>
            <w:tcW w:w="1361" w:type="dxa"/>
          </w:tcPr>
          <w:p w:rsidR="00050ED1" w:rsidRPr="00FA373E" w:rsidRDefault="00050ED1" w:rsidP="00B77767">
            <w:pPr>
              <w:pStyle w:val="NoSpacing"/>
              <w:jc w:val="right"/>
              <w:rPr>
                <w:b/>
                <w:szCs w:val="22"/>
              </w:rPr>
            </w:pPr>
            <w:r w:rsidRPr="00FA373E">
              <w:rPr>
                <w:b/>
                <w:szCs w:val="22"/>
              </w:rPr>
              <w:t>1,501,500</w:t>
            </w:r>
          </w:p>
        </w:tc>
      </w:tr>
      <w:tr w:rsidR="00050ED1" w:rsidRPr="00FA373E" w:rsidTr="00B77767">
        <w:trPr>
          <w:trHeight w:val="182"/>
        </w:trPr>
        <w:tc>
          <w:tcPr>
            <w:tcW w:w="8249" w:type="dxa"/>
            <w:gridSpan w:val="4"/>
          </w:tcPr>
          <w:p w:rsidR="00050ED1" w:rsidRPr="00FA373E" w:rsidRDefault="00050ED1" w:rsidP="00B77767">
            <w:pPr>
              <w:pStyle w:val="NoSpacing"/>
              <w:jc w:val="left"/>
              <w:rPr>
                <w:b/>
                <w:szCs w:val="22"/>
              </w:rPr>
            </w:pPr>
            <w:r w:rsidRPr="00FA373E">
              <w:rPr>
                <w:b/>
                <w:szCs w:val="22"/>
              </w:rPr>
              <w:t>Supply and Delivery of Various IT Equipment and Software</w:t>
            </w:r>
          </w:p>
        </w:tc>
      </w:tr>
      <w:tr w:rsidR="00050ED1" w:rsidRPr="00FA373E" w:rsidTr="00B77767">
        <w:trPr>
          <w:trHeight w:val="464"/>
        </w:trPr>
        <w:tc>
          <w:tcPr>
            <w:tcW w:w="769" w:type="dxa"/>
            <w:vMerge w:val="restart"/>
          </w:tcPr>
          <w:p w:rsidR="00050ED1" w:rsidRPr="00FA373E" w:rsidRDefault="00050ED1" w:rsidP="00B77767">
            <w:pPr>
              <w:pStyle w:val="NoSpacing"/>
              <w:rPr>
                <w:szCs w:val="22"/>
              </w:rPr>
            </w:pPr>
            <w:r w:rsidRPr="00FA373E">
              <w:rPr>
                <w:szCs w:val="22"/>
              </w:rPr>
              <w:t>Lot C</w:t>
            </w:r>
          </w:p>
        </w:tc>
        <w:tc>
          <w:tcPr>
            <w:tcW w:w="6119" w:type="dxa"/>
            <w:gridSpan w:val="2"/>
          </w:tcPr>
          <w:p w:rsidR="00050ED1" w:rsidRPr="00FA373E" w:rsidRDefault="00050ED1" w:rsidP="00B77767">
            <w:pPr>
              <w:pStyle w:val="NoSpacing"/>
              <w:rPr>
                <w:szCs w:val="22"/>
              </w:rPr>
            </w:pPr>
            <w:r w:rsidRPr="00FA373E">
              <w:rPr>
                <w:szCs w:val="22"/>
              </w:rPr>
              <w:t>a. Two (2) units Desktop PC i7</w:t>
            </w:r>
          </w:p>
        </w:tc>
        <w:tc>
          <w:tcPr>
            <w:tcW w:w="1361" w:type="dxa"/>
          </w:tcPr>
          <w:p w:rsidR="00050ED1" w:rsidRPr="00FA373E" w:rsidRDefault="00050ED1" w:rsidP="00B77767">
            <w:pPr>
              <w:pStyle w:val="NoSpacing"/>
              <w:jc w:val="right"/>
              <w:rPr>
                <w:szCs w:val="22"/>
              </w:rPr>
            </w:pPr>
            <w:r w:rsidRPr="00FA373E">
              <w:rPr>
                <w:szCs w:val="22"/>
              </w:rPr>
              <w:t>280,000</w:t>
            </w:r>
          </w:p>
        </w:tc>
      </w:tr>
      <w:tr w:rsidR="00050ED1" w:rsidRPr="00FA373E" w:rsidTr="00B77767">
        <w:trPr>
          <w:trHeight w:val="464"/>
        </w:trPr>
        <w:tc>
          <w:tcPr>
            <w:tcW w:w="769" w:type="dxa"/>
            <w:vMerge/>
          </w:tcPr>
          <w:p w:rsidR="00050ED1" w:rsidRPr="00FA373E" w:rsidRDefault="00050ED1" w:rsidP="00B77767">
            <w:pPr>
              <w:pStyle w:val="NoSpacing"/>
              <w:rPr>
                <w:szCs w:val="22"/>
              </w:rPr>
            </w:pPr>
          </w:p>
        </w:tc>
        <w:tc>
          <w:tcPr>
            <w:tcW w:w="6119" w:type="dxa"/>
            <w:gridSpan w:val="2"/>
          </w:tcPr>
          <w:p w:rsidR="00050ED1" w:rsidRPr="00FA373E" w:rsidRDefault="00050ED1" w:rsidP="00B77767">
            <w:pPr>
              <w:pStyle w:val="NoSpacing"/>
              <w:rPr>
                <w:szCs w:val="22"/>
              </w:rPr>
            </w:pPr>
            <w:r w:rsidRPr="00FA373E">
              <w:rPr>
                <w:szCs w:val="22"/>
              </w:rPr>
              <w:t>b. Four (4) units Desktop PC i5</w:t>
            </w:r>
          </w:p>
        </w:tc>
        <w:tc>
          <w:tcPr>
            <w:tcW w:w="1361" w:type="dxa"/>
          </w:tcPr>
          <w:p w:rsidR="00050ED1" w:rsidRPr="00FA373E" w:rsidRDefault="00050ED1" w:rsidP="00B77767">
            <w:pPr>
              <w:pStyle w:val="NoSpacing"/>
              <w:jc w:val="right"/>
              <w:rPr>
                <w:szCs w:val="22"/>
              </w:rPr>
            </w:pPr>
            <w:r w:rsidRPr="00FA373E">
              <w:rPr>
                <w:szCs w:val="22"/>
              </w:rPr>
              <w:t>320,000</w:t>
            </w:r>
          </w:p>
        </w:tc>
      </w:tr>
      <w:tr w:rsidR="00050ED1" w:rsidRPr="00FA373E" w:rsidTr="00B77767">
        <w:trPr>
          <w:trHeight w:val="464"/>
        </w:trPr>
        <w:tc>
          <w:tcPr>
            <w:tcW w:w="769" w:type="dxa"/>
            <w:vMerge/>
          </w:tcPr>
          <w:p w:rsidR="00050ED1" w:rsidRPr="00FA373E" w:rsidRDefault="00050ED1" w:rsidP="00B77767">
            <w:pPr>
              <w:pStyle w:val="NoSpacing"/>
              <w:rPr>
                <w:szCs w:val="22"/>
              </w:rPr>
            </w:pPr>
          </w:p>
        </w:tc>
        <w:tc>
          <w:tcPr>
            <w:tcW w:w="6119" w:type="dxa"/>
            <w:gridSpan w:val="2"/>
          </w:tcPr>
          <w:p w:rsidR="00050ED1" w:rsidRPr="00FA373E" w:rsidRDefault="00050ED1" w:rsidP="00B77767">
            <w:pPr>
              <w:pStyle w:val="NoSpacing"/>
              <w:rPr>
                <w:szCs w:val="22"/>
              </w:rPr>
            </w:pPr>
            <w:r w:rsidRPr="00FA373E">
              <w:rPr>
                <w:szCs w:val="22"/>
              </w:rPr>
              <w:t>c. Three (3) units Laptop PC i7</w:t>
            </w:r>
          </w:p>
        </w:tc>
        <w:tc>
          <w:tcPr>
            <w:tcW w:w="1361" w:type="dxa"/>
          </w:tcPr>
          <w:p w:rsidR="00050ED1" w:rsidRPr="00FA373E" w:rsidRDefault="00050ED1" w:rsidP="00B77767">
            <w:pPr>
              <w:pStyle w:val="NoSpacing"/>
              <w:jc w:val="right"/>
              <w:rPr>
                <w:szCs w:val="22"/>
              </w:rPr>
            </w:pPr>
            <w:r w:rsidRPr="00FA373E">
              <w:rPr>
                <w:szCs w:val="22"/>
              </w:rPr>
              <w:t>405,000</w:t>
            </w:r>
          </w:p>
        </w:tc>
      </w:tr>
      <w:tr w:rsidR="00050ED1" w:rsidRPr="00FA373E" w:rsidTr="00B77767">
        <w:trPr>
          <w:trHeight w:val="464"/>
        </w:trPr>
        <w:tc>
          <w:tcPr>
            <w:tcW w:w="769" w:type="dxa"/>
            <w:vMerge/>
          </w:tcPr>
          <w:p w:rsidR="00050ED1" w:rsidRPr="00FA373E" w:rsidRDefault="00050ED1" w:rsidP="00B77767">
            <w:pPr>
              <w:pStyle w:val="NoSpacing"/>
              <w:rPr>
                <w:szCs w:val="22"/>
              </w:rPr>
            </w:pPr>
          </w:p>
        </w:tc>
        <w:tc>
          <w:tcPr>
            <w:tcW w:w="6119" w:type="dxa"/>
            <w:gridSpan w:val="2"/>
          </w:tcPr>
          <w:p w:rsidR="00050ED1" w:rsidRPr="00FA373E" w:rsidRDefault="00050ED1" w:rsidP="00B77767">
            <w:pPr>
              <w:pStyle w:val="NoSpacing"/>
              <w:rPr>
                <w:szCs w:val="22"/>
              </w:rPr>
            </w:pPr>
            <w:r w:rsidRPr="00FA373E">
              <w:rPr>
                <w:szCs w:val="22"/>
              </w:rPr>
              <w:t>d. Thirty Four (34) units Laptop PC i5</w:t>
            </w:r>
          </w:p>
        </w:tc>
        <w:tc>
          <w:tcPr>
            <w:tcW w:w="1361" w:type="dxa"/>
          </w:tcPr>
          <w:p w:rsidR="00050ED1" w:rsidRPr="00FA373E" w:rsidRDefault="00050ED1" w:rsidP="00B77767">
            <w:pPr>
              <w:pStyle w:val="NoSpacing"/>
              <w:jc w:val="right"/>
              <w:rPr>
                <w:szCs w:val="22"/>
              </w:rPr>
            </w:pPr>
            <w:r w:rsidRPr="00FA373E">
              <w:rPr>
                <w:szCs w:val="22"/>
              </w:rPr>
              <w:t>2,720,000</w:t>
            </w:r>
          </w:p>
        </w:tc>
      </w:tr>
      <w:tr w:rsidR="00050ED1" w:rsidRPr="00FA373E" w:rsidTr="00B77767">
        <w:trPr>
          <w:trHeight w:val="464"/>
        </w:trPr>
        <w:tc>
          <w:tcPr>
            <w:tcW w:w="769" w:type="dxa"/>
            <w:vMerge/>
          </w:tcPr>
          <w:p w:rsidR="00050ED1" w:rsidRPr="00FA373E" w:rsidRDefault="00050ED1" w:rsidP="00B77767">
            <w:pPr>
              <w:pStyle w:val="NoSpacing"/>
              <w:rPr>
                <w:szCs w:val="22"/>
              </w:rPr>
            </w:pPr>
          </w:p>
        </w:tc>
        <w:tc>
          <w:tcPr>
            <w:tcW w:w="6119" w:type="dxa"/>
            <w:gridSpan w:val="2"/>
          </w:tcPr>
          <w:p w:rsidR="00050ED1" w:rsidRPr="00FA373E" w:rsidRDefault="00050ED1" w:rsidP="00B77767">
            <w:pPr>
              <w:pStyle w:val="NoSpacing"/>
              <w:rPr>
                <w:szCs w:val="22"/>
              </w:rPr>
            </w:pPr>
            <w:r w:rsidRPr="00FA373E">
              <w:rPr>
                <w:szCs w:val="22"/>
              </w:rPr>
              <w:t>e. One (1) unit Printer, Inkjet</w:t>
            </w:r>
          </w:p>
        </w:tc>
        <w:tc>
          <w:tcPr>
            <w:tcW w:w="1361" w:type="dxa"/>
          </w:tcPr>
          <w:p w:rsidR="00050ED1" w:rsidRPr="00FA373E" w:rsidRDefault="00050ED1" w:rsidP="00B77767">
            <w:pPr>
              <w:pStyle w:val="NoSpacing"/>
              <w:jc w:val="right"/>
              <w:rPr>
                <w:szCs w:val="22"/>
              </w:rPr>
            </w:pPr>
            <w:r w:rsidRPr="00FA373E">
              <w:rPr>
                <w:szCs w:val="22"/>
              </w:rPr>
              <w:t>40,000</w:t>
            </w:r>
          </w:p>
        </w:tc>
      </w:tr>
      <w:tr w:rsidR="00050ED1" w:rsidRPr="00FA373E" w:rsidTr="00B77767">
        <w:trPr>
          <w:trHeight w:val="464"/>
        </w:trPr>
        <w:tc>
          <w:tcPr>
            <w:tcW w:w="769" w:type="dxa"/>
            <w:vMerge/>
          </w:tcPr>
          <w:p w:rsidR="00050ED1" w:rsidRPr="00FA373E" w:rsidRDefault="00050ED1" w:rsidP="00B77767">
            <w:pPr>
              <w:pStyle w:val="NoSpacing"/>
              <w:rPr>
                <w:szCs w:val="22"/>
              </w:rPr>
            </w:pPr>
          </w:p>
        </w:tc>
        <w:tc>
          <w:tcPr>
            <w:tcW w:w="6119" w:type="dxa"/>
            <w:gridSpan w:val="2"/>
          </w:tcPr>
          <w:p w:rsidR="00050ED1" w:rsidRPr="00FA373E" w:rsidRDefault="00050ED1" w:rsidP="00B77767">
            <w:pPr>
              <w:pStyle w:val="NoSpacing"/>
              <w:rPr>
                <w:szCs w:val="22"/>
              </w:rPr>
            </w:pPr>
            <w:r w:rsidRPr="00FA373E">
              <w:rPr>
                <w:szCs w:val="22"/>
              </w:rPr>
              <w:t>f. Three (3) units Projector</w:t>
            </w:r>
          </w:p>
        </w:tc>
        <w:tc>
          <w:tcPr>
            <w:tcW w:w="1361" w:type="dxa"/>
          </w:tcPr>
          <w:p w:rsidR="00050ED1" w:rsidRPr="00FA373E" w:rsidRDefault="00050ED1" w:rsidP="00B77767">
            <w:pPr>
              <w:pStyle w:val="NoSpacing"/>
              <w:jc w:val="right"/>
              <w:rPr>
                <w:szCs w:val="22"/>
              </w:rPr>
            </w:pPr>
            <w:r w:rsidRPr="00FA373E">
              <w:rPr>
                <w:szCs w:val="22"/>
              </w:rPr>
              <w:t>240,000</w:t>
            </w:r>
          </w:p>
        </w:tc>
      </w:tr>
      <w:tr w:rsidR="00050ED1" w:rsidRPr="00FA373E" w:rsidTr="00B77767">
        <w:trPr>
          <w:trHeight w:val="450"/>
        </w:trPr>
        <w:tc>
          <w:tcPr>
            <w:tcW w:w="769" w:type="dxa"/>
            <w:tcBorders>
              <w:right w:val="nil"/>
            </w:tcBorders>
          </w:tcPr>
          <w:p w:rsidR="00050ED1" w:rsidRPr="00FA373E" w:rsidRDefault="00050ED1" w:rsidP="00B77767">
            <w:pPr>
              <w:pStyle w:val="NoSpacing"/>
              <w:rPr>
                <w:szCs w:val="22"/>
              </w:rPr>
            </w:pPr>
          </w:p>
        </w:tc>
        <w:tc>
          <w:tcPr>
            <w:tcW w:w="905" w:type="dxa"/>
            <w:tcBorders>
              <w:top w:val="nil"/>
              <w:left w:val="nil"/>
              <w:bottom w:val="nil"/>
              <w:right w:val="nil"/>
            </w:tcBorders>
          </w:tcPr>
          <w:p w:rsidR="00050ED1" w:rsidRPr="00FA373E" w:rsidRDefault="00050ED1" w:rsidP="00B77767">
            <w:pPr>
              <w:pStyle w:val="NoSpacing"/>
              <w:rPr>
                <w:szCs w:val="22"/>
              </w:rPr>
            </w:pPr>
          </w:p>
        </w:tc>
        <w:tc>
          <w:tcPr>
            <w:tcW w:w="5214" w:type="dxa"/>
            <w:tcBorders>
              <w:left w:val="nil"/>
            </w:tcBorders>
          </w:tcPr>
          <w:p w:rsidR="00050ED1" w:rsidRPr="00FA373E" w:rsidRDefault="00050ED1" w:rsidP="00B77767">
            <w:pPr>
              <w:pStyle w:val="NoSpacing"/>
              <w:rPr>
                <w:b/>
                <w:szCs w:val="22"/>
              </w:rPr>
            </w:pPr>
            <w:r w:rsidRPr="00FA373E">
              <w:rPr>
                <w:b/>
                <w:szCs w:val="22"/>
              </w:rPr>
              <w:t>Total</w:t>
            </w:r>
          </w:p>
        </w:tc>
        <w:tc>
          <w:tcPr>
            <w:tcW w:w="1361" w:type="dxa"/>
          </w:tcPr>
          <w:p w:rsidR="00050ED1" w:rsidRPr="00FA373E" w:rsidRDefault="00050ED1" w:rsidP="00B77767">
            <w:pPr>
              <w:pStyle w:val="NoSpacing"/>
              <w:jc w:val="right"/>
              <w:rPr>
                <w:b/>
                <w:szCs w:val="22"/>
              </w:rPr>
            </w:pPr>
            <w:r w:rsidRPr="00FA373E">
              <w:rPr>
                <w:b/>
                <w:szCs w:val="22"/>
              </w:rPr>
              <w:t>4,005,000</w:t>
            </w:r>
          </w:p>
        </w:tc>
      </w:tr>
      <w:tr w:rsidR="00050ED1" w:rsidRPr="00FA373E" w:rsidTr="00B77767">
        <w:trPr>
          <w:trHeight w:val="450"/>
        </w:trPr>
        <w:tc>
          <w:tcPr>
            <w:tcW w:w="769" w:type="dxa"/>
            <w:vMerge w:val="restart"/>
          </w:tcPr>
          <w:p w:rsidR="00050ED1" w:rsidRPr="00FA373E" w:rsidRDefault="00050ED1" w:rsidP="00B77767">
            <w:pPr>
              <w:pStyle w:val="NoSpacing"/>
              <w:rPr>
                <w:szCs w:val="22"/>
              </w:rPr>
            </w:pPr>
            <w:r w:rsidRPr="00FA373E">
              <w:rPr>
                <w:szCs w:val="22"/>
              </w:rPr>
              <w:t>Lot D</w:t>
            </w:r>
          </w:p>
        </w:tc>
        <w:tc>
          <w:tcPr>
            <w:tcW w:w="6119" w:type="dxa"/>
            <w:gridSpan w:val="2"/>
          </w:tcPr>
          <w:p w:rsidR="00050ED1" w:rsidRPr="00FA373E" w:rsidRDefault="00050ED1" w:rsidP="00B77767">
            <w:pPr>
              <w:pStyle w:val="NoSpacing"/>
              <w:rPr>
                <w:szCs w:val="22"/>
              </w:rPr>
            </w:pPr>
            <w:r w:rsidRPr="00FA373E">
              <w:rPr>
                <w:szCs w:val="22"/>
              </w:rPr>
              <w:t>a. Two (2) units Network Switch, Data Rack with UPS</w:t>
            </w:r>
          </w:p>
        </w:tc>
        <w:tc>
          <w:tcPr>
            <w:tcW w:w="1361" w:type="dxa"/>
          </w:tcPr>
          <w:p w:rsidR="00050ED1" w:rsidRPr="00FA373E" w:rsidRDefault="00050ED1" w:rsidP="00B77767">
            <w:pPr>
              <w:pStyle w:val="NoSpacing"/>
              <w:jc w:val="right"/>
              <w:rPr>
                <w:szCs w:val="22"/>
              </w:rPr>
            </w:pPr>
            <w:r w:rsidRPr="00FA373E">
              <w:rPr>
                <w:szCs w:val="22"/>
              </w:rPr>
              <w:t>2,000,000</w:t>
            </w:r>
          </w:p>
        </w:tc>
      </w:tr>
      <w:tr w:rsidR="00050ED1" w:rsidRPr="00FA373E" w:rsidTr="00B77767">
        <w:trPr>
          <w:trHeight w:val="450"/>
        </w:trPr>
        <w:tc>
          <w:tcPr>
            <w:tcW w:w="769" w:type="dxa"/>
            <w:vMerge/>
          </w:tcPr>
          <w:p w:rsidR="00050ED1" w:rsidRPr="00FA373E" w:rsidRDefault="00050ED1" w:rsidP="00B77767">
            <w:pPr>
              <w:pStyle w:val="NoSpacing"/>
              <w:rPr>
                <w:szCs w:val="22"/>
              </w:rPr>
            </w:pPr>
          </w:p>
        </w:tc>
        <w:tc>
          <w:tcPr>
            <w:tcW w:w="6119" w:type="dxa"/>
            <w:gridSpan w:val="2"/>
          </w:tcPr>
          <w:p w:rsidR="00050ED1" w:rsidRPr="00FA373E" w:rsidRDefault="00050ED1" w:rsidP="00B77767">
            <w:pPr>
              <w:pStyle w:val="NoSpacing"/>
              <w:rPr>
                <w:szCs w:val="22"/>
              </w:rPr>
            </w:pPr>
            <w:r w:rsidRPr="00FA373E">
              <w:rPr>
                <w:szCs w:val="22"/>
              </w:rPr>
              <w:t>b. Two (2) units Server for AD/DHCP/Antivirus /ArcGIS</w:t>
            </w:r>
          </w:p>
        </w:tc>
        <w:tc>
          <w:tcPr>
            <w:tcW w:w="1361" w:type="dxa"/>
          </w:tcPr>
          <w:p w:rsidR="00050ED1" w:rsidRPr="00FA373E" w:rsidRDefault="00050ED1" w:rsidP="00B77767">
            <w:pPr>
              <w:pStyle w:val="NoSpacing"/>
              <w:jc w:val="right"/>
              <w:rPr>
                <w:szCs w:val="22"/>
              </w:rPr>
            </w:pPr>
            <w:r w:rsidRPr="00FA373E">
              <w:rPr>
                <w:szCs w:val="22"/>
              </w:rPr>
              <w:t>1,000,000</w:t>
            </w:r>
          </w:p>
        </w:tc>
      </w:tr>
      <w:tr w:rsidR="00050ED1" w:rsidRPr="00FA373E" w:rsidTr="00B77767">
        <w:trPr>
          <w:trHeight w:val="450"/>
        </w:trPr>
        <w:tc>
          <w:tcPr>
            <w:tcW w:w="769" w:type="dxa"/>
            <w:vMerge/>
          </w:tcPr>
          <w:p w:rsidR="00050ED1" w:rsidRPr="00FA373E" w:rsidRDefault="00050ED1" w:rsidP="00B77767">
            <w:pPr>
              <w:pStyle w:val="NoSpacing"/>
              <w:rPr>
                <w:szCs w:val="22"/>
              </w:rPr>
            </w:pPr>
          </w:p>
        </w:tc>
        <w:tc>
          <w:tcPr>
            <w:tcW w:w="6119" w:type="dxa"/>
            <w:gridSpan w:val="2"/>
          </w:tcPr>
          <w:p w:rsidR="00050ED1" w:rsidRPr="00FA373E" w:rsidRDefault="00050ED1" w:rsidP="00B77767">
            <w:pPr>
              <w:pStyle w:val="NoSpacing"/>
              <w:rPr>
                <w:szCs w:val="22"/>
              </w:rPr>
            </w:pPr>
            <w:r w:rsidRPr="00FA373E">
              <w:rPr>
                <w:szCs w:val="22"/>
              </w:rPr>
              <w:t>c. Two (2) units Next Generation Firewall</w:t>
            </w:r>
          </w:p>
        </w:tc>
        <w:tc>
          <w:tcPr>
            <w:tcW w:w="1361" w:type="dxa"/>
          </w:tcPr>
          <w:p w:rsidR="00050ED1" w:rsidRPr="00FA373E" w:rsidRDefault="00050ED1" w:rsidP="00B77767">
            <w:pPr>
              <w:pStyle w:val="NoSpacing"/>
              <w:jc w:val="right"/>
              <w:rPr>
                <w:szCs w:val="22"/>
              </w:rPr>
            </w:pPr>
            <w:r w:rsidRPr="00FA373E">
              <w:rPr>
                <w:szCs w:val="22"/>
              </w:rPr>
              <w:t>200,000</w:t>
            </w:r>
          </w:p>
        </w:tc>
      </w:tr>
      <w:tr w:rsidR="00050ED1" w:rsidRPr="00FA373E" w:rsidTr="00B77767">
        <w:trPr>
          <w:trHeight w:val="368"/>
        </w:trPr>
        <w:tc>
          <w:tcPr>
            <w:tcW w:w="769" w:type="dxa"/>
            <w:tcBorders>
              <w:right w:val="nil"/>
            </w:tcBorders>
          </w:tcPr>
          <w:p w:rsidR="00050ED1" w:rsidRPr="00FA373E" w:rsidRDefault="00050ED1" w:rsidP="00B77767">
            <w:pPr>
              <w:pStyle w:val="NoSpacing"/>
              <w:rPr>
                <w:szCs w:val="22"/>
              </w:rPr>
            </w:pPr>
          </w:p>
        </w:tc>
        <w:tc>
          <w:tcPr>
            <w:tcW w:w="905" w:type="dxa"/>
            <w:tcBorders>
              <w:top w:val="nil"/>
              <w:left w:val="nil"/>
              <w:bottom w:val="nil"/>
              <w:right w:val="nil"/>
            </w:tcBorders>
          </w:tcPr>
          <w:p w:rsidR="00050ED1" w:rsidRPr="00FA373E" w:rsidRDefault="00050ED1" w:rsidP="00B77767">
            <w:pPr>
              <w:pStyle w:val="NoSpacing"/>
              <w:rPr>
                <w:szCs w:val="22"/>
              </w:rPr>
            </w:pPr>
          </w:p>
        </w:tc>
        <w:tc>
          <w:tcPr>
            <w:tcW w:w="5214" w:type="dxa"/>
            <w:tcBorders>
              <w:left w:val="nil"/>
            </w:tcBorders>
          </w:tcPr>
          <w:p w:rsidR="00050ED1" w:rsidRPr="00FA373E" w:rsidRDefault="00050ED1" w:rsidP="00B77767">
            <w:pPr>
              <w:pStyle w:val="NoSpacing"/>
              <w:rPr>
                <w:b/>
                <w:szCs w:val="22"/>
              </w:rPr>
            </w:pPr>
            <w:r w:rsidRPr="00FA373E">
              <w:rPr>
                <w:b/>
                <w:szCs w:val="22"/>
              </w:rPr>
              <w:t>Total</w:t>
            </w:r>
          </w:p>
        </w:tc>
        <w:tc>
          <w:tcPr>
            <w:tcW w:w="1361" w:type="dxa"/>
          </w:tcPr>
          <w:p w:rsidR="00050ED1" w:rsidRPr="00FA373E" w:rsidRDefault="00050ED1" w:rsidP="00B77767">
            <w:pPr>
              <w:pStyle w:val="NoSpacing"/>
              <w:jc w:val="right"/>
              <w:rPr>
                <w:b/>
                <w:szCs w:val="22"/>
              </w:rPr>
            </w:pPr>
            <w:r w:rsidRPr="00FA373E">
              <w:rPr>
                <w:b/>
                <w:szCs w:val="22"/>
              </w:rPr>
              <w:t>3,200,000</w:t>
            </w:r>
          </w:p>
        </w:tc>
      </w:tr>
      <w:tr w:rsidR="00050ED1" w:rsidRPr="00FA373E" w:rsidTr="00B77767">
        <w:trPr>
          <w:trHeight w:val="393"/>
        </w:trPr>
        <w:tc>
          <w:tcPr>
            <w:tcW w:w="769" w:type="dxa"/>
          </w:tcPr>
          <w:p w:rsidR="00050ED1" w:rsidRPr="00FA373E" w:rsidRDefault="00050ED1" w:rsidP="00B77767">
            <w:pPr>
              <w:pStyle w:val="NoSpacing"/>
              <w:rPr>
                <w:szCs w:val="22"/>
              </w:rPr>
            </w:pPr>
            <w:r w:rsidRPr="00FA373E">
              <w:rPr>
                <w:szCs w:val="22"/>
              </w:rPr>
              <w:t>Lot E</w:t>
            </w:r>
          </w:p>
        </w:tc>
        <w:tc>
          <w:tcPr>
            <w:tcW w:w="6119" w:type="dxa"/>
            <w:gridSpan w:val="2"/>
          </w:tcPr>
          <w:p w:rsidR="00050ED1" w:rsidRPr="00FA373E" w:rsidRDefault="00050ED1" w:rsidP="00B77767">
            <w:pPr>
              <w:pStyle w:val="NoSpacing"/>
              <w:rPr>
                <w:szCs w:val="22"/>
              </w:rPr>
            </w:pPr>
            <w:r w:rsidRPr="00FA373E">
              <w:rPr>
                <w:szCs w:val="22"/>
              </w:rPr>
              <w:t xml:space="preserve">Two (2) </w:t>
            </w:r>
            <w:proofErr w:type="spellStart"/>
            <w:r w:rsidRPr="00FA373E">
              <w:rPr>
                <w:szCs w:val="22"/>
              </w:rPr>
              <w:t>lic</w:t>
            </w:r>
            <w:proofErr w:type="spellEnd"/>
            <w:r w:rsidRPr="00FA373E">
              <w:rPr>
                <w:szCs w:val="22"/>
              </w:rPr>
              <w:t xml:space="preserve"> AutoCAD Civil 3D</w:t>
            </w:r>
          </w:p>
        </w:tc>
        <w:tc>
          <w:tcPr>
            <w:tcW w:w="1361" w:type="dxa"/>
          </w:tcPr>
          <w:p w:rsidR="00050ED1" w:rsidRPr="00FA373E" w:rsidRDefault="00050ED1" w:rsidP="00B77767">
            <w:pPr>
              <w:pStyle w:val="NoSpacing"/>
              <w:jc w:val="right"/>
              <w:rPr>
                <w:b/>
                <w:szCs w:val="22"/>
              </w:rPr>
            </w:pPr>
            <w:r w:rsidRPr="00FA373E">
              <w:rPr>
                <w:b/>
                <w:szCs w:val="22"/>
              </w:rPr>
              <w:t>200,000</w:t>
            </w:r>
          </w:p>
        </w:tc>
      </w:tr>
      <w:tr w:rsidR="00050ED1" w:rsidRPr="00FA373E" w:rsidTr="00B77767">
        <w:trPr>
          <w:trHeight w:val="450"/>
        </w:trPr>
        <w:tc>
          <w:tcPr>
            <w:tcW w:w="769" w:type="dxa"/>
          </w:tcPr>
          <w:p w:rsidR="00050ED1" w:rsidRPr="00FA373E" w:rsidRDefault="00050ED1" w:rsidP="00B77767">
            <w:pPr>
              <w:pStyle w:val="NoSpacing"/>
              <w:rPr>
                <w:szCs w:val="22"/>
              </w:rPr>
            </w:pPr>
            <w:r w:rsidRPr="00FA373E">
              <w:rPr>
                <w:szCs w:val="22"/>
              </w:rPr>
              <w:t>Lot F</w:t>
            </w:r>
          </w:p>
        </w:tc>
        <w:tc>
          <w:tcPr>
            <w:tcW w:w="6119" w:type="dxa"/>
            <w:gridSpan w:val="2"/>
          </w:tcPr>
          <w:p w:rsidR="00050ED1" w:rsidRPr="00FA373E" w:rsidRDefault="00050ED1" w:rsidP="00B77767">
            <w:pPr>
              <w:pStyle w:val="NoSpacing"/>
              <w:rPr>
                <w:szCs w:val="22"/>
              </w:rPr>
            </w:pPr>
            <w:r w:rsidRPr="00FA373E">
              <w:rPr>
                <w:szCs w:val="22"/>
              </w:rPr>
              <w:t xml:space="preserve">Forty Three (43) </w:t>
            </w:r>
            <w:proofErr w:type="spellStart"/>
            <w:r w:rsidRPr="00FA373E">
              <w:rPr>
                <w:szCs w:val="22"/>
              </w:rPr>
              <w:t>lic</w:t>
            </w:r>
            <w:proofErr w:type="spellEnd"/>
            <w:r w:rsidRPr="00FA373E">
              <w:rPr>
                <w:szCs w:val="22"/>
              </w:rPr>
              <w:t xml:space="preserve"> Endpoint Security License</w:t>
            </w:r>
          </w:p>
        </w:tc>
        <w:tc>
          <w:tcPr>
            <w:tcW w:w="1361" w:type="dxa"/>
          </w:tcPr>
          <w:p w:rsidR="00050ED1" w:rsidRPr="00FA373E" w:rsidRDefault="00050ED1" w:rsidP="00B77767">
            <w:pPr>
              <w:pStyle w:val="NoSpacing"/>
              <w:jc w:val="right"/>
              <w:rPr>
                <w:b/>
                <w:szCs w:val="22"/>
              </w:rPr>
            </w:pPr>
            <w:r w:rsidRPr="00FA373E">
              <w:rPr>
                <w:b/>
                <w:szCs w:val="22"/>
              </w:rPr>
              <w:t>193,500</w:t>
            </w:r>
          </w:p>
        </w:tc>
      </w:tr>
      <w:tr w:rsidR="00050ED1" w:rsidRPr="00FA373E" w:rsidTr="00B77767">
        <w:trPr>
          <w:trHeight w:val="450"/>
        </w:trPr>
        <w:tc>
          <w:tcPr>
            <w:tcW w:w="769" w:type="dxa"/>
          </w:tcPr>
          <w:p w:rsidR="00050ED1" w:rsidRPr="00FA373E" w:rsidRDefault="00050ED1" w:rsidP="00B77767">
            <w:pPr>
              <w:pStyle w:val="NoSpacing"/>
              <w:rPr>
                <w:szCs w:val="22"/>
              </w:rPr>
            </w:pPr>
            <w:r w:rsidRPr="00FA373E">
              <w:rPr>
                <w:szCs w:val="22"/>
              </w:rPr>
              <w:t>Lot G</w:t>
            </w:r>
          </w:p>
        </w:tc>
        <w:tc>
          <w:tcPr>
            <w:tcW w:w="6119" w:type="dxa"/>
            <w:gridSpan w:val="2"/>
          </w:tcPr>
          <w:p w:rsidR="00050ED1" w:rsidRPr="00FA373E" w:rsidRDefault="00050ED1" w:rsidP="00B77767">
            <w:pPr>
              <w:pStyle w:val="NoSpacing"/>
              <w:rPr>
                <w:szCs w:val="22"/>
              </w:rPr>
            </w:pPr>
            <w:r w:rsidRPr="00FA373E">
              <w:rPr>
                <w:szCs w:val="22"/>
              </w:rPr>
              <w:t>One (1) unit Video Conferencing Equipment</w:t>
            </w:r>
          </w:p>
        </w:tc>
        <w:tc>
          <w:tcPr>
            <w:tcW w:w="1361" w:type="dxa"/>
          </w:tcPr>
          <w:p w:rsidR="00050ED1" w:rsidRPr="00FA373E" w:rsidRDefault="00050ED1" w:rsidP="00B77767">
            <w:pPr>
              <w:pStyle w:val="NoSpacing"/>
              <w:jc w:val="right"/>
              <w:rPr>
                <w:b/>
                <w:szCs w:val="22"/>
              </w:rPr>
            </w:pPr>
            <w:r w:rsidRPr="00FA373E">
              <w:rPr>
                <w:b/>
                <w:szCs w:val="22"/>
              </w:rPr>
              <w:t>150,000</w:t>
            </w:r>
          </w:p>
        </w:tc>
      </w:tr>
    </w:tbl>
    <w:p w:rsidR="00050ED1" w:rsidRPr="00FA373E" w:rsidRDefault="00050ED1" w:rsidP="00050ED1">
      <w:pPr>
        <w:spacing w:line="276" w:lineRule="auto"/>
        <w:ind w:left="720"/>
        <w:rPr>
          <w:sz w:val="22"/>
        </w:rPr>
      </w:pPr>
    </w:p>
    <w:p w:rsidR="00050ED1" w:rsidRPr="00FA373E" w:rsidRDefault="00050ED1" w:rsidP="00050ED1">
      <w:pPr>
        <w:spacing w:line="276" w:lineRule="auto"/>
        <w:ind w:left="720"/>
        <w:rPr>
          <w:sz w:val="22"/>
        </w:rPr>
      </w:pPr>
      <w:r w:rsidRPr="00FA373E">
        <w:rPr>
          <w:sz w:val="22"/>
        </w:rPr>
        <w:t>*inclusive of VAT and all other applicable government taxes, fees and other charges. Bids received in excess of the ABC shall be automatically rejected on bid opening.</w:t>
      </w:r>
    </w:p>
    <w:p w:rsidR="00050ED1" w:rsidRDefault="00050ED1" w:rsidP="00050ED1">
      <w:pPr>
        <w:spacing w:line="276" w:lineRule="auto"/>
        <w:ind w:left="720"/>
        <w:rPr>
          <w:sz w:val="22"/>
        </w:rPr>
      </w:pPr>
    </w:p>
    <w:p w:rsidR="00050ED1" w:rsidRPr="00FA373E" w:rsidRDefault="00050ED1" w:rsidP="00050ED1">
      <w:pPr>
        <w:spacing w:line="276" w:lineRule="auto"/>
        <w:ind w:left="720"/>
        <w:rPr>
          <w:sz w:val="22"/>
        </w:rPr>
      </w:pPr>
    </w:p>
    <w:p w:rsidR="00050ED1" w:rsidRPr="00FA373E" w:rsidRDefault="00050ED1" w:rsidP="00050ED1">
      <w:pPr>
        <w:numPr>
          <w:ilvl w:val="0"/>
          <w:numId w:val="1"/>
        </w:numPr>
        <w:pBdr>
          <w:top w:val="nil"/>
          <w:left w:val="nil"/>
          <w:bottom w:val="nil"/>
          <w:right w:val="nil"/>
          <w:between w:val="nil"/>
        </w:pBdr>
        <w:spacing w:line="276" w:lineRule="auto"/>
        <w:rPr>
          <w:b/>
          <w:sz w:val="22"/>
        </w:rPr>
      </w:pPr>
      <w:r w:rsidRPr="00FA373E">
        <w:rPr>
          <w:sz w:val="22"/>
        </w:rPr>
        <w:t xml:space="preserve">BCDA now invites bids for the </w:t>
      </w:r>
      <w:r w:rsidRPr="00FA373E">
        <w:rPr>
          <w:b/>
          <w:sz w:val="22"/>
        </w:rPr>
        <w:t>Fit-Out, Repair, Supply and Delivery of Office Furniture and Equipment for the Subic-Clark Railway Project Management Office</w:t>
      </w:r>
      <w:r w:rsidRPr="00FA373E">
        <w:rPr>
          <w:rFonts w:eastAsia="Bookman Old Style"/>
          <w:b/>
          <w:sz w:val="22"/>
        </w:rPr>
        <w:t xml:space="preserve">.  </w:t>
      </w:r>
      <w:r w:rsidRPr="00FA373E">
        <w:rPr>
          <w:rFonts w:eastAsia="Bookman Old Style"/>
          <w:sz w:val="22"/>
        </w:rPr>
        <w:t>Supply and</w:t>
      </w:r>
      <w:r w:rsidRPr="00FA373E">
        <w:rPr>
          <w:rFonts w:eastAsia="Bookman Old Style"/>
          <w:b/>
          <w:sz w:val="22"/>
        </w:rPr>
        <w:t xml:space="preserve"> </w:t>
      </w:r>
      <w:r w:rsidRPr="00FA373E">
        <w:rPr>
          <w:sz w:val="22"/>
        </w:rPr>
        <w:t>Delivery of the Goods and Services are required to be completed in sixty (60) calendar days upon issuance of the Notice to Proceed. Bidders should have completed, within five (5) years from the date of submission and receipt of bids, a contract similar to the Project. The description of an eligible bidder is contained in the Bidding Documents, particularly, in Section II. Instructions to Bidders.</w:t>
      </w:r>
    </w:p>
    <w:p w:rsidR="00050ED1" w:rsidRPr="00FA373E" w:rsidRDefault="00050ED1" w:rsidP="00050ED1">
      <w:pPr>
        <w:pBdr>
          <w:top w:val="nil"/>
          <w:left w:val="nil"/>
          <w:bottom w:val="nil"/>
          <w:right w:val="nil"/>
          <w:between w:val="nil"/>
        </w:pBdr>
        <w:spacing w:line="276" w:lineRule="auto"/>
        <w:rPr>
          <w:sz w:val="22"/>
        </w:rPr>
      </w:pPr>
    </w:p>
    <w:p w:rsidR="00050ED1" w:rsidRPr="00FA373E" w:rsidRDefault="00050ED1" w:rsidP="00050ED1">
      <w:pPr>
        <w:numPr>
          <w:ilvl w:val="0"/>
          <w:numId w:val="1"/>
        </w:numPr>
        <w:pBdr>
          <w:top w:val="nil"/>
          <w:left w:val="nil"/>
          <w:bottom w:val="nil"/>
          <w:right w:val="nil"/>
          <w:between w:val="nil"/>
        </w:pBdr>
        <w:spacing w:line="276" w:lineRule="auto"/>
        <w:rPr>
          <w:sz w:val="22"/>
        </w:rPr>
      </w:pPr>
      <w:r w:rsidRPr="00FA373E">
        <w:rPr>
          <w:sz w:val="22"/>
        </w:rPr>
        <w:t xml:space="preserve">Bidding will be conducted through </w:t>
      </w:r>
      <w:r>
        <w:rPr>
          <w:sz w:val="22"/>
        </w:rPr>
        <w:t>public</w:t>
      </w:r>
      <w:r w:rsidRPr="00FA373E">
        <w:rPr>
          <w:sz w:val="22"/>
        </w:rPr>
        <w:t xml:space="preserve"> competitive bidding procedure using a non-discretionary “pass/fail” criterion as specified in the 2016 Revised Implementing Rules and Regulations (IRR) of Republic Act (RA) 9184, otherwise known as the “Government Procurement Reform Act”.</w:t>
      </w:r>
    </w:p>
    <w:p w:rsidR="00050ED1" w:rsidRPr="00FA373E" w:rsidRDefault="00050ED1" w:rsidP="00050ED1">
      <w:pPr>
        <w:spacing w:line="276" w:lineRule="auto"/>
        <w:rPr>
          <w:sz w:val="22"/>
        </w:rPr>
      </w:pPr>
    </w:p>
    <w:p w:rsidR="00050ED1" w:rsidRPr="00FA373E" w:rsidRDefault="00050ED1" w:rsidP="00050ED1">
      <w:pPr>
        <w:spacing w:line="276" w:lineRule="auto"/>
        <w:ind w:left="720"/>
        <w:rPr>
          <w:sz w:val="22"/>
        </w:rPr>
      </w:pPr>
      <w:r w:rsidRPr="00FA373E">
        <w:rPr>
          <w:sz w:val="22"/>
        </w:rPr>
        <w:t xml:space="preserve">Bidding is </w:t>
      </w:r>
      <w:r>
        <w:rPr>
          <w:sz w:val="22"/>
        </w:rPr>
        <w:t>limi</w:t>
      </w:r>
      <w:r w:rsidRPr="00FA373E">
        <w:rPr>
          <w:sz w:val="22"/>
        </w:rPr>
        <w:t>ted to Filipino citizens/sole proprietorships, partnerships, or</w:t>
      </w:r>
      <w:r>
        <w:rPr>
          <w:sz w:val="22"/>
        </w:rPr>
        <w:t xml:space="preserve"> </w:t>
      </w:r>
      <w:r w:rsidRPr="00FA373E">
        <w:rPr>
          <w:sz w:val="22"/>
        </w:rPr>
        <w:t>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rsidR="00050ED1" w:rsidRPr="00FA373E" w:rsidRDefault="00050ED1" w:rsidP="00050ED1">
      <w:pPr>
        <w:spacing w:line="276" w:lineRule="auto"/>
        <w:ind w:left="1080"/>
        <w:rPr>
          <w:sz w:val="22"/>
        </w:rPr>
      </w:pPr>
    </w:p>
    <w:p w:rsidR="00050ED1" w:rsidRPr="00FA373E" w:rsidRDefault="00050ED1" w:rsidP="00050ED1">
      <w:pPr>
        <w:numPr>
          <w:ilvl w:val="0"/>
          <w:numId w:val="1"/>
        </w:numPr>
        <w:pBdr>
          <w:top w:val="nil"/>
          <w:left w:val="nil"/>
          <w:bottom w:val="nil"/>
          <w:right w:val="nil"/>
          <w:between w:val="nil"/>
        </w:pBdr>
        <w:spacing w:line="276" w:lineRule="auto"/>
        <w:rPr>
          <w:sz w:val="22"/>
        </w:rPr>
      </w:pPr>
      <w:r w:rsidRPr="00FA373E">
        <w:rPr>
          <w:sz w:val="22"/>
        </w:rPr>
        <w:t>Interested bidders may obtain further information from BCDA and inspect the Bidding Documents at the address given below during business hours from 8:00 AM – 5:00 PM.</w:t>
      </w:r>
    </w:p>
    <w:p w:rsidR="00050ED1" w:rsidRPr="00FA373E" w:rsidRDefault="00050ED1" w:rsidP="00050ED1">
      <w:pPr>
        <w:pBdr>
          <w:top w:val="nil"/>
          <w:left w:val="nil"/>
          <w:bottom w:val="nil"/>
          <w:right w:val="nil"/>
          <w:between w:val="nil"/>
        </w:pBdr>
        <w:spacing w:line="276" w:lineRule="auto"/>
        <w:ind w:left="720"/>
        <w:rPr>
          <w:sz w:val="22"/>
        </w:rPr>
      </w:pPr>
    </w:p>
    <w:p w:rsidR="00050ED1" w:rsidRPr="00FA373E" w:rsidRDefault="00050ED1" w:rsidP="00050ED1">
      <w:pPr>
        <w:numPr>
          <w:ilvl w:val="0"/>
          <w:numId w:val="1"/>
        </w:numPr>
        <w:pBdr>
          <w:top w:val="nil"/>
          <w:left w:val="nil"/>
          <w:bottom w:val="nil"/>
          <w:right w:val="nil"/>
          <w:between w:val="nil"/>
        </w:pBdr>
        <w:spacing w:line="276" w:lineRule="auto"/>
        <w:rPr>
          <w:sz w:val="22"/>
        </w:rPr>
      </w:pPr>
      <w:r w:rsidRPr="00FA373E">
        <w:rPr>
          <w:sz w:val="22"/>
        </w:rPr>
        <w:t>A complete set of Bidding Documents may be acquired by interested Bidders from the address below starting  23 November</w:t>
      </w:r>
      <w:r>
        <w:rPr>
          <w:sz w:val="22"/>
        </w:rPr>
        <w:t xml:space="preserve"> 2019</w:t>
      </w:r>
      <w:r w:rsidRPr="00FA373E">
        <w:rPr>
          <w:sz w:val="22"/>
        </w:rPr>
        <w:t xml:space="preserve"> until 15 December 2019 from 8:00 AM to 5:00 PM except Saturdays, Sundays and Holidays, and until 9:00 AM on 16 December 2019</w:t>
      </w:r>
      <w:r w:rsidRPr="00FA373E">
        <w:rPr>
          <w:rFonts w:eastAsia="Cambria"/>
          <w:sz w:val="22"/>
        </w:rPr>
        <w:t>, upon payment of a non-refundable fee of the following:</w:t>
      </w:r>
    </w:p>
    <w:p w:rsidR="00050ED1" w:rsidRPr="00FA373E" w:rsidRDefault="00050ED1" w:rsidP="00050ED1">
      <w:pPr>
        <w:pBdr>
          <w:top w:val="nil"/>
          <w:left w:val="nil"/>
          <w:bottom w:val="nil"/>
          <w:right w:val="nil"/>
          <w:between w:val="nil"/>
        </w:pBdr>
        <w:spacing w:line="276" w:lineRule="auto"/>
        <w:ind w:left="720"/>
        <w:rPr>
          <w:sz w:val="22"/>
        </w:rPr>
      </w:pPr>
    </w:p>
    <w:tbl>
      <w:tblPr>
        <w:tblStyle w:val="21"/>
        <w:tblW w:w="7991" w:type="dxa"/>
        <w:tblInd w:w="1000" w:type="dxa"/>
        <w:tblBorders>
          <w:top w:val="nil"/>
          <w:left w:val="nil"/>
          <w:bottom w:val="nil"/>
          <w:right w:val="nil"/>
          <w:insideH w:val="nil"/>
          <w:insideV w:val="nil"/>
        </w:tblBorders>
        <w:tblLayout w:type="fixed"/>
        <w:tblLook w:val="0600" w:firstRow="0" w:lastRow="0" w:firstColumn="0" w:lastColumn="0" w:noHBand="1" w:noVBand="1"/>
      </w:tblPr>
      <w:tblGrid>
        <w:gridCol w:w="4130"/>
        <w:gridCol w:w="3861"/>
      </w:tblGrid>
      <w:tr w:rsidR="00050ED1" w:rsidRPr="00FA373E" w:rsidTr="00B77767">
        <w:trPr>
          <w:trHeight w:val="483"/>
        </w:trPr>
        <w:tc>
          <w:tcPr>
            <w:tcW w:w="4130" w:type="dxa"/>
            <w:tcBorders>
              <w:top w:val="single" w:sz="8" w:space="0" w:color="000000"/>
              <w:left w:val="single" w:sz="8" w:space="0" w:color="000000"/>
              <w:bottom w:val="single" w:sz="8" w:space="0" w:color="000000"/>
              <w:right w:val="single" w:sz="8" w:space="0" w:color="000000"/>
            </w:tcBorders>
          </w:tcPr>
          <w:p w:rsidR="00050ED1" w:rsidRPr="00FA373E" w:rsidRDefault="00050ED1" w:rsidP="00B77767">
            <w:pPr>
              <w:pStyle w:val="Heading5"/>
              <w:rPr>
                <w:rFonts w:eastAsia="Cambria"/>
                <w:sz w:val="20"/>
              </w:rPr>
            </w:pPr>
            <w:r w:rsidRPr="00FA373E">
              <w:rPr>
                <w:rFonts w:eastAsia="Cambria"/>
                <w:sz w:val="20"/>
              </w:rPr>
              <w:t>Approved Budget of the Contract (ABC) or Total Cost of Lot/s</w:t>
            </w:r>
          </w:p>
        </w:tc>
        <w:tc>
          <w:tcPr>
            <w:tcW w:w="38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50ED1" w:rsidRPr="00FA373E" w:rsidRDefault="00050ED1" w:rsidP="00B77767">
            <w:pPr>
              <w:pStyle w:val="Heading5"/>
              <w:rPr>
                <w:rFonts w:eastAsia="Cambria"/>
                <w:sz w:val="20"/>
              </w:rPr>
            </w:pPr>
            <w:r w:rsidRPr="00FA373E">
              <w:rPr>
                <w:rFonts w:eastAsia="Cambria"/>
                <w:sz w:val="20"/>
              </w:rPr>
              <w:t>Cost of Bidding Documents (</w:t>
            </w:r>
            <w:proofErr w:type="spellStart"/>
            <w:r w:rsidRPr="00FA373E">
              <w:rPr>
                <w:rFonts w:eastAsia="Cambria"/>
                <w:sz w:val="20"/>
              </w:rPr>
              <w:t>PhP</w:t>
            </w:r>
            <w:proofErr w:type="spellEnd"/>
            <w:r w:rsidRPr="00FA373E">
              <w:rPr>
                <w:rFonts w:eastAsia="Cambria"/>
                <w:sz w:val="20"/>
              </w:rPr>
              <w:t>)</w:t>
            </w:r>
          </w:p>
        </w:tc>
      </w:tr>
      <w:tr w:rsidR="00050ED1" w:rsidRPr="00FA373E" w:rsidTr="00B77767">
        <w:trPr>
          <w:trHeight w:val="218"/>
        </w:trPr>
        <w:tc>
          <w:tcPr>
            <w:tcW w:w="4130" w:type="dxa"/>
            <w:tcBorders>
              <w:top w:val="nil"/>
              <w:left w:val="single" w:sz="8" w:space="0" w:color="000000"/>
              <w:bottom w:val="single" w:sz="8" w:space="0" w:color="000000"/>
              <w:right w:val="single" w:sz="8" w:space="0" w:color="000000"/>
            </w:tcBorders>
          </w:tcPr>
          <w:p w:rsidR="00050ED1" w:rsidRPr="00FA373E" w:rsidRDefault="00050ED1" w:rsidP="00B77767">
            <w:pPr>
              <w:pStyle w:val="Heading5"/>
              <w:rPr>
                <w:rFonts w:eastAsia="Cambria"/>
                <w:b w:val="0"/>
                <w:sz w:val="20"/>
              </w:rPr>
            </w:pPr>
            <w:r w:rsidRPr="00FA373E">
              <w:rPr>
                <w:rFonts w:eastAsia="Cambria"/>
                <w:b w:val="0"/>
                <w:sz w:val="20"/>
              </w:rPr>
              <w:t>Lot A</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050ED1" w:rsidRPr="00FA373E" w:rsidRDefault="00050ED1" w:rsidP="00B77767">
            <w:pPr>
              <w:pStyle w:val="Heading5"/>
              <w:rPr>
                <w:rFonts w:eastAsia="Cambria"/>
                <w:b w:val="0"/>
                <w:sz w:val="20"/>
              </w:rPr>
            </w:pPr>
            <w:r w:rsidRPr="00FA373E">
              <w:rPr>
                <w:rFonts w:eastAsia="Cambria"/>
                <w:b w:val="0"/>
                <w:sz w:val="20"/>
              </w:rPr>
              <w:t>5,000.00</w:t>
            </w:r>
          </w:p>
        </w:tc>
      </w:tr>
      <w:tr w:rsidR="00050ED1" w:rsidRPr="00FA373E" w:rsidTr="00B77767">
        <w:trPr>
          <w:trHeight w:val="278"/>
        </w:trPr>
        <w:tc>
          <w:tcPr>
            <w:tcW w:w="4130" w:type="dxa"/>
            <w:tcBorders>
              <w:top w:val="nil"/>
              <w:left w:val="single" w:sz="8" w:space="0" w:color="000000"/>
              <w:bottom w:val="single" w:sz="8" w:space="0" w:color="000000"/>
              <w:right w:val="single" w:sz="8" w:space="0" w:color="000000"/>
            </w:tcBorders>
          </w:tcPr>
          <w:p w:rsidR="00050ED1" w:rsidRPr="00FA373E" w:rsidRDefault="00050ED1" w:rsidP="00B77767">
            <w:pPr>
              <w:pStyle w:val="Heading5"/>
              <w:rPr>
                <w:rFonts w:eastAsia="Cambria"/>
                <w:b w:val="0"/>
                <w:sz w:val="20"/>
              </w:rPr>
            </w:pPr>
            <w:r w:rsidRPr="00FA373E">
              <w:rPr>
                <w:rFonts w:eastAsia="Cambria"/>
                <w:b w:val="0"/>
                <w:sz w:val="20"/>
              </w:rPr>
              <w:t>Lot B</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050ED1" w:rsidRPr="00FA373E" w:rsidRDefault="00050ED1" w:rsidP="00B77767">
            <w:pPr>
              <w:pStyle w:val="Heading5"/>
              <w:rPr>
                <w:rFonts w:eastAsia="Cambria"/>
                <w:b w:val="0"/>
                <w:sz w:val="20"/>
              </w:rPr>
            </w:pPr>
            <w:r w:rsidRPr="00FA373E">
              <w:rPr>
                <w:rFonts w:eastAsia="Cambria"/>
                <w:b w:val="0"/>
                <w:sz w:val="20"/>
              </w:rPr>
              <w:t>5,000.00</w:t>
            </w:r>
          </w:p>
        </w:tc>
      </w:tr>
      <w:tr w:rsidR="00050ED1" w:rsidRPr="00FA373E" w:rsidTr="00B77767">
        <w:trPr>
          <w:trHeight w:val="256"/>
        </w:trPr>
        <w:tc>
          <w:tcPr>
            <w:tcW w:w="4130" w:type="dxa"/>
            <w:tcBorders>
              <w:top w:val="nil"/>
              <w:left w:val="single" w:sz="8" w:space="0" w:color="000000"/>
              <w:bottom w:val="single" w:sz="8" w:space="0" w:color="000000"/>
              <w:right w:val="single" w:sz="8" w:space="0" w:color="000000"/>
            </w:tcBorders>
          </w:tcPr>
          <w:p w:rsidR="00050ED1" w:rsidRPr="00FA373E" w:rsidRDefault="00050ED1" w:rsidP="00B77767">
            <w:pPr>
              <w:pStyle w:val="Heading5"/>
              <w:rPr>
                <w:rFonts w:eastAsia="Cambria"/>
                <w:b w:val="0"/>
                <w:sz w:val="20"/>
              </w:rPr>
            </w:pPr>
            <w:r w:rsidRPr="00FA373E">
              <w:rPr>
                <w:rFonts w:eastAsia="Cambria"/>
                <w:b w:val="0"/>
                <w:sz w:val="20"/>
              </w:rPr>
              <w:t>Lot C</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050ED1" w:rsidRPr="00FA373E" w:rsidRDefault="00050ED1" w:rsidP="00B77767">
            <w:pPr>
              <w:pStyle w:val="Heading5"/>
              <w:rPr>
                <w:rFonts w:eastAsia="Cambria"/>
                <w:b w:val="0"/>
                <w:sz w:val="20"/>
              </w:rPr>
            </w:pPr>
            <w:r w:rsidRPr="00FA373E">
              <w:rPr>
                <w:rFonts w:eastAsia="Cambria"/>
                <w:b w:val="0"/>
                <w:sz w:val="20"/>
              </w:rPr>
              <w:t>5,000.00</w:t>
            </w:r>
          </w:p>
        </w:tc>
      </w:tr>
      <w:tr w:rsidR="00050ED1" w:rsidRPr="00FA373E" w:rsidTr="00B77767">
        <w:trPr>
          <w:trHeight w:val="256"/>
        </w:trPr>
        <w:tc>
          <w:tcPr>
            <w:tcW w:w="4130" w:type="dxa"/>
            <w:tcBorders>
              <w:top w:val="nil"/>
              <w:left w:val="single" w:sz="8" w:space="0" w:color="000000"/>
              <w:bottom w:val="single" w:sz="8" w:space="0" w:color="000000"/>
              <w:right w:val="single" w:sz="8" w:space="0" w:color="000000"/>
            </w:tcBorders>
          </w:tcPr>
          <w:p w:rsidR="00050ED1" w:rsidRPr="00FA373E" w:rsidRDefault="00050ED1" w:rsidP="00B77767">
            <w:pPr>
              <w:pStyle w:val="Heading5"/>
              <w:rPr>
                <w:rFonts w:eastAsia="Cambria"/>
                <w:b w:val="0"/>
                <w:sz w:val="20"/>
              </w:rPr>
            </w:pPr>
            <w:r w:rsidRPr="00FA373E">
              <w:rPr>
                <w:rFonts w:eastAsia="Cambria"/>
                <w:b w:val="0"/>
                <w:sz w:val="20"/>
              </w:rPr>
              <w:t>Lot D</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050ED1" w:rsidRPr="00FA373E" w:rsidRDefault="00050ED1" w:rsidP="00B77767">
            <w:pPr>
              <w:pStyle w:val="Heading5"/>
              <w:rPr>
                <w:rFonts w:eastAsia="Cambria"/>
                <w:b w:val="0"/>
                <w:sz w:val="20"/>
              </w:rPr>
            </w:pPr>
            <w:r w:rsidRPr="00FA373E">
              <w:rPr>
                <w:rFonts w:eastAsia="Cambria"/>
                <w:b w:val="0"/>
                <w:sz w:val="20"/>
              </w:rPr>
              <w:t>5,000.00</w:t>
            </w:r>
          </w:p>
        </w:tc>
      </w:tr>
      <w:tr w:rsidR="00050ED1" w:rsidRPr="00FA373E" w:rsidTr="00B77767">
        <w:trPr>
          <w:trHeight w:val="256"/>
        </w:trPr>
        <w:tc>
          <w:tcPr>
            <w:tcW w:w="4130" w:type="dxa"/>
            <w:tcBorders>
              <w:top w:val="nil"/>
              <w:left w:val="single" w:sz="8" w:space="0" w:color="000000"/>
              <w:bottom w:val="single" w:sz="8" w:space="0" w:color="000000"/>
              <w:right w:val="single" w:sz="8" w:space="0" w:color="000000"/>
            </w:tcBorders>
          </w:tcPr>
          <w:p w:rsidR="00050ED1" w:rsidRPr="00FA373E" w:rsidRDefault="00050ED1" w:rsidP="00B77767">
            <w:pPr>
              <w:pStyle w:val="Heading5"/>
              <w:rPr>
                <w:rFonts w:eastAsia="Cambria"/>
                <w:b w:val="0"/>
                <w:sz w:val="20"/>
              </w:rPr>
            </w:pPr>
            <w:r w:rsidRPr="00FA373E">
              <w:rPr>
                <w:rFonts w:eastAsia="Cambria"/>
                <w:b w:val="0"/>
                <w:sz w:val="20"/>
              </w:rPr>
              <w:t>Lot E</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050ED1" w:rsidRPr="00FA373E" w:rsidRDefault="00050ED1" w:rsidP="00B77767">
            <w:pPr>
              <w:pStyle w:val="Heading5"/>
              <w:rPr>
                <w:rFonts w:eastAsia="Cambria"/>
                <w:b w:val="0"/>
                <w:sz w:val="20"/>
              </w:rPr>
            </w:pPr>
            <w:r w:rsidRPr="00FA373E">
              <w:rPr>
                <w:rFonts w:eastAsia="Cambria"/>
                <w:b w:val="0"/>
                <w:sz w:val="20"/>
              </w:rPr>
              <w:t>500.00</w:t>
            </w:r>
          </w:p>
        </w:tc>
      </w:tr>
      <w:tr w:rsidR="00050ED1" w:rsidRPr="00FA373E" w:rsidTr="00B77767">
        <w:trPr>
          <w:trHeight w:val="256"/>
        </w:trPr>
        <w:tc>
          <w:tcPr>
            <w:tcW w:w="4130" w:type="dxa"/>
            <w:tcBorders>
              <w:top w:val="nil"/>
              <w:left w:val="single" w:sz="8" w:space="0" w:color="000000"/>
              <w:bottom w:val="single" w:sz="8" w:space="0" w:color="000000"/>
              <w:right w:val="single" w:sz="8" w:space="0" w:color="000000"/>
            </w:tcBorders>
          </w:tcPr>
          <w:p w:rsidR="00050ED1" w:rsidRPr="00FA373E" w:rsidRDefault="00050ED1" w:rsidP="00B77767">
            <w:pPr>
              <w:pStyle w:val="Heading5"/>
              <w:rPr>
                <w:rFonts w:eastAsia="Cambria"/>
                <w:b w:val="0"/>
                <w:sz w:val="20"/>
              </w:rPr>
            </w:pPr>
            <w:r w:rsidRPr="00FA373E">
              <w:rPr>
                <w:rFonts w:eastAsia="Cambria"/>
                <w:b w:val="0"/>
                <w:sz w:val="20"/>
              </w:rPr>
              <w:t>Lot F</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050ED1" w:rsidRPr="00FA373E" w:rsidRDefault="00050ED1" w:rsidP="00B77767">
            <w:pPr>
              <w:pStyle w:val="Heading5"/>
              <w:rPr>
                <w:rFonts w:eastAsia="Cambria"/>
                <w:b w:val="0"/>
                <w:sz w:val="20"/>
              </w:rPr>
            </w:pPr>
            <w:r w:rsidRPr="00FA373E">
              <w:rPr>
                <w:rFonts w:eastAsia="Cambria"/>
                <w:b w:val="0"/>
                <w:sz w:val="20"/>
              </w:rPr>
              <w:t>500.00</w:t>
            </w:r>
          </w:p>
        </w:tc>
      </w:tr>
      <w:tr w:rsidR="00050ED1" w:rsidRPr="00FA373E" w:rsidTr="00B77767">
        <w:trPr>
          <w:trHeight w:val="197"/>
        </w:trPr>
        <w:tc>
          <w:tcPr>
            <w:tcW w:w="4130" w:type="dxa"/>
            <w:tcBorders>
              <w:top w:val="nil"/>
              <w:left w:val="single" w:sz="8" w:space="0" w:color="000000"/>
              <w:bottom w:val="single" w:sz="4" w:space="0" w:color="auto"/>
              <w:right w:val="single" w:sz="8" w:space="0" w:color="000000"/>
            </w:tcBorders>
          </w:tcPr>
          <w:p w:rsidR="00050ED1" w:rsidRPr="00FA373E" w:rsidRDefault="00050ED1" w:rsidP="00B77767">
            <w:pPr>
              <w:pStyle w:val="Heading5"/>
              <w:rPr>
                <w:rFonts w:eastAsia="Cambria"/>
                <w:b w:val="0"/>
                <w:sz w:val="20"/>
              </w:rPr>
            </w:pPr>
            <w:r w:rsidRPr="00FA373E">
              <w:rPr>
                <w:rFonts w:eastAsia="Cambria"/>
                <w:b w:val="0"/>
                <w:sz w:val="20"/>
              </w:rPr>
              <w:t>Lot G</w:t>
            </w:r>
          </w:p>
        </w:tc>
        <w:tc>
          <w:tcPr>
            <w:tcW w:w="3861" w:type="dxa"/>
            <w:tcBorders>
              <w:top w:val="nil"/>
              <w:left w:val="nil"/>
              <w:bottom w:val="single" w:sz="4" w:space="0" w:color="auto"/>
              <w:right w:val="single" w:sz="8" w:space="0" w:color="000000"/>
            </w:tcBorders>
            <w:tcMar>
              <w:top w:w="100" w:type="dxa"/>
              <w:left w:w="100" w:type="dxa"/>
              <w:bottom w:w="100" w:type="dxa"/>
              <w:right w:w="100" w:type="dxa"/>
            </w:tcMar>
          </w:tcPr>
          <w:p w:rsidR="00050ED1" w:rsidRPr="00FA373E" w:rsidRDefault="00050ED1" w:rsidP="00B77767">
            <w:pPr>
              <w:pStyle w:val="Heading5"/>
              <w:rPr>
                <w:rFonts w:eastAsia="Cambria"/>
                <w:b w:val="0"/>
                <w:sz w:val="20"/>
              </w:rPr>
            </w:pPr>
            <w:r w:rsidRPr="00FA373E">
              <w:rPr>
                <w:rFonts w:eastAsia="Cambria"/>
                <w:b w:val="0"/>
                <w:sz w:val="20"/>
              </w:rPr>
              <w:t>500.00</w:t>
            </w:r>
          </w:p>
        </w:tc>
      </w:tr>
    </w:tbl>
    <w:p w:rsidR="00050ED1" w:rsidRPr="00FA373E" w:rsidRDefault="00050ED1" w:rsidP="00050ED1">
      <w:pPr>
        <w:spacing w:line="276" w:lineRule="auto"/>
        <w:ind w:left="720"/>
        <w:rPr>
          <w:sz w:val="22"/>
        </w:rPr>
      </w:pPr>
    </w:p>
    <w:p w:rsidR="00050ED1" w:rsidRPr="00FA373E" w:rsidRDefault="00050ED1" w:rsidP="00050ED1">
      <w:pPr>
        <w:spacing w:line="276" w:lineRule="auto"/>
        <w:ind w:left="720"/>
        <w:rPr>
          <w:sz w:val="22"/>
        </w:rPr>
      </w:pPr>
      <w:r w:rsidRPr="00FA373E">
        <w:rPr>
          <w:sz w:val="22"/>
        </w:rPr>
        <w:t>It may also be downloaded free of charge from the website of the Philippine Government Electronic Procurement System (</w:t>
      </w:r>
      <w:proofErr w:type="spellStart"/>
      <w:r w:rsidRPr="00FA373E">
        <w:rPr>
          <w:sz w:val="22"/>
        </w:rPr>
        <w:t>PhilGEPS</w:t>
      </w:r>
      <w:proofErr w:type="spellEnd"/>
      <w:r w:rsidRPr="00FA373E">
        <w:rPr>
          <w:sz w:val="22"/>
        </w:rPr>
        <w:t>) and the website of BCDA (www.bcda.gov.ph)</w:t>
      </w:r>
      <w:r w:rsidRPr="00FA373E">
        <w:rPr>
          <w:i/>
          <w:sz w:val="22"/>
        </w:rPr>
        <w:t xml:space="preserve">, </w:t>
      </w:r>
      <w:r w:rsidRPr="00FA373E">
        <w:rPr>
          <w:sz w:val="22"/>
        </w:rPr>
        <w:t>provided that Bidders shall pay the applicable fee for the Bidding Documents not later than the submission of their bids.</w:t>
      </w:r>
    </w:p>
    <w:p w:rsidR="00050ED1" w:rsidRDefault="00050ED1" w:rsidP="00050ED1">
      <w:pPr>
        <w:spacing w:line="276" w:lineRule="auto"/>
        <w:ind w:left="720"/>
        <w:rPr>
          <w:sz w:val="22"/>
        </w:rPr>
      </w:pPr>
    </w:p>
    <w:p w:rsidR="00050ED1" w:rsidRDefault="00050ED1" w:rsidP="00050ED1">
      <w:pPr>
        <w:spacing w:line="276" w:lineRule="auto"/>
        <w:ind w:left="720"/>
        <w:rPr>
          <w:sz w:val="22"/>
        </w:rPr>
      </w:pPr>
    </w:p>
    <w:p w:rsidR="00050ED1" w:rsidRDefault="00050ED1" w:rsidP="00050ED1">
      <w:pPr>
        <w:spacing w:line="276" w:lineRule="auto"/>
        <w:ind w:left="720"/>
        <w:rPr>
          <w:sz w:val="22"/>
        </w:rPr>
      </w:pPr>
    </w:p>
    <w:p w:rsidR="00050ED1" w:rsidRDefault="00050ED1" w:rsidP="00050ED1">
      <w:pPr>
        <w:spacing w:line="276" w:lineRule="auto"/>
        <w:ind w:left="720"/>
        <w:rPr>
          <w:sz w:val="22"/>
        </w:rPr>
      </w:pPr>
    </w:p>
    <w:p w:rsidR="00050ED1" w:rsidRPr="00FA373E" w:rsidRDefault="00050ED1" w:rsidP="00050ED1">
      <w:pPr>
        <w:spacing w:line="276" w:lineRule="auto"/>
        <w:ind w:left="720"/>
        <w:rPr>
          <w:sz w:val="22"/>
        </w:rPr>
      </w:pPr>
    </w:p>
    <w:p w:rsidR="00050ED1" w:rsidRPr="00FA373E" w:rsidRDefault="00050ED1" w:rsidP="00050ED1">
      <w:pPr>
        <w:numPr>
          <w:ilvl w:val="0"/>
          <w:numId w:val="1"/>
        </w:numPr>
        <w:pBdr>
          <w:top w:val="nil"/>
          <w:left w:val="nil"/>
          <w:bottom w:val="nil"/>
          <w:right w:val="nil"/>
          <w:between w:val="nil"/>
        </w:pBdr>
        <w:spacing w:line="276" w:lineRule="auto"/>
        <w:rPr>
          <w:sz w:val="22"/>
        </w:rPr>
      </w:pPr>
      <w:r w:rsidRPr="00FA373E">
        <w:rPr>
          <w:sz w:val="22"/>
        </w:rPr>
        <w:t>BCDA will hold a Pre-Bid Conference on</w:t>
      </w:r>
      <w:r w:rsidRPr="00FA373E">
        <w:rPr>
          <w:b/>
          <w:sz w:val="22"/>
        </w:rPr>
        <w:t xml:space="preserve"> </w:t>
      </w:r>
      <w:r w:rsidRPr="00FA373E">
        <w:rPr>
          <w:sz w:val="22"/>
        </w:rPr>
        <w:t xml:space="preserve">02 December 2019 at 10:00 AM at </w:t>
      </w:r>
      <w:r w:rsidRPr="00FA373E">
        <w:rPr>
          <w:rFonts w:ascii="Cambria" w:eastAsia="Cambria" w:hAnsi="Cambria" w:cs="Cambria"/>
          <w:sz w:val="22"/>
        </w:rPr>
        <w:t>2</w:t>
      </w:r>
      <w:r w:rsidRPr="00FA373E">
        <w:rPr>
          <w:rFonts w:ascii="Cambria" w:eastAsia="Cambria" w:hAnsi="Cambria" w:cs="Cambria"/>
          <w:sz w:val="22"/>
          <w:vertAlign w:val="superscript"/>
        </w:rPr>
        <w:t>nd</w:t>
      </w:r>
      <w:r w:rsidRPr="00FA373E">
        <w:rPr>
          <w:rFonts w:ascii="Cambria" w:eastAsia="Cambria" w:hAnsi="Cambria" w:cs="Cambria"/>
          <w:sz w:val="22"/>
        </w:rPr>
        <w:t xml:space="preserve"> Floor </w:t>
      </w:r>
      <w:proofErr w:type="spellStart"/>
      <w:r w:rsidRPr="00FA373E">
        <w:rPr>
          <w:rFonts w:ascii="Cambria" w:eastAsia="Cambria" w:hAnsi="Cambria" w:cs="Cambria"/>
          <w:sz w:val="22"/>
        </w:rPr>
        <w:t>Bonifacio</w:t>
      </w:r>
      <w:proofErr w:type="spellEnd"/>
      <w:r w:rsidRPr="00FA373E">
        <w:rPr>
          <w:rFonts w:ascii="Cambria" w:eastAsia="Cambria" w:hAnsi="Cambria" w:cs="Cambria"/>
          <w:sz w:val="22"/>
        </w:rPr>
        <w:t xml:space="preserve"> Technology </w:t>
      </w:r>
      <w:proofErr w:type="spellStart"/>
      <w:r w:rsidRPr="00FA373E">
        <w:rPr>
          <w:rFonts w:ascii="Cambria" w:eastAsia="Cambria" w:hAnsi="Cambria" w:cs="Cambria"/>
          <w:sz w:val="22"/>
        </w:rPr>
        <w:t>Center</w:t>
      </w:r>
      <w:proofErr w:type="spellEnd"/>
      <w:r w:rsidRPr="00FA373E">
        <w:rPr>
          <w:rFonts w:ascii="Cambria" w:eastAsia="Cambria" w:hAnsi="Cambria" w:cs="Cambria"/>
          <w:sz w:val="22"/>
        </w:rPr>
        <w:t>, 31</w:t>
      </w:r>
      <w:r w:rsidRPr="00FA373E">
        <w:rPr>
          <w:rFonts w:ascii="Cambria" w:eastAsia="Cambria" w:hAnsi="Cambria" w:cs="Cambria"/>
          <w:sz w:val="22"/>
          <w:vertAlign w:val="superscript"/>
        </w:rPr>
        <w:t>st</w:t>
      </w:r>
      <w:r w:rsidRPr="00FA373E">
        <w:rPr>
          <w:rFonts w:ascii="Cambria" w:eastAsia="Cambria" w:hAnsi="Cambria" w:cs="Cambria"/>
          <w:sz w:val="22"/>
        </w:rPr>
        <w:t xml:space="preserve"> St. cor. 2</w:t>
      </w:r>
      <w:r w:rsidRPr="00FA373E">
        <w:rPr>
          <w:rFonts w:ascii="Cambria" w:eastAsia="Cambria" w:hAnsi="Cambria" w:cs="Cambria"/>
          <w:sz w:val="22"/>
          <w:vertAlign w:val="superscript"/>
        </w:rPr>
        <w:t>nd</w:t>
      </w:r>
      <w:r w:rsidRPr="00FA373E">
        <w:rPr>
          <w:rFonts w:ascii="Cambria" w:eastAsia="Cambria" w:hAnsi="Cambria" w:cs="Cambria"/>
          <w:sz w:val="22"/>
        </w:rPr>
        <w:t xml:space="preserve"> Avenue, </w:t>
      </w:r>
      <w:proofErr w:type="spellStart"/>
      <w:r w:rsidRPr="00FA373E">
        <w:rPr>
          <w:rFonts w:ascii="Cambria" w:eastAsia="Cambria" w:hAnsi="Cambria" w:cs="Cambria"/>
          <w:sz w:val="22"/>
        </w:rPr>
        <w:t>Bonifacio</w:t>
      </w:r>
      <w:proofErr w:type="spellEnd"/>
      <w:r w:rsidRPr="00FA373E">
        <w:rPr>
          <w:rFonts w:ascii="Cambria" w:eastAsia="Cambria" w:hAnsi="Cambria" w:cs="Cambria"/>
          <w:sz w:val="22"/>
        </w:rPr>
        <w:t xml:space="preserve"> Global City, </w:t>
      </w:r>
      <w:proofErr w:type="spellStart"/>
      <w:r w:rsidRPr="00FA373E">
        <w:rPr>
          <w:rFonts w:ascii="Cambria" w:eastAsia="Cambria" w:hAnsi="Cambria" w:cs="Cambria"/>
          <w:sz w:val="22"/>
        </w:rPr>
        <w:t>Taguig</w:t>
      </w:r>
      <w:proofErr w:type="spellEnd"/>
      <w:r w:rsidRPr="00FA373E">
        <w:rPr>
          <w:rFonts w:ascii="Cambria" w:eastAsia="Cambria" w:hAnsi="Cambria" w:cs="Cambria"/>
          <w:sz w:val="22"/>
        </w:rPr>
        <w:t xml:space="preserve"> City</w:t>
      </w:r>
      <w:r w:rsidRPr="00FA373E">
        <w:rPr>
          <w:i/>
          <w:sz w:val="22"/>
        </w:rPr>
        <w:t xml:space="preserve">, </w:t>
      </w:r>
      <w:r w:rsidRPr="00FA373E">
        <w:rPr>
          <w:sz w:val="22"/>
        </w:rPr>
        <w:t>which shall be open to prospective bidders.</w:t>
      </w:r>
    </w:p>
    <w:p w:rsidR="00050ED1" w:rsidRPr="00FA373E" w:rsidRDefault="00050ED1" w:rsidP="00050ED1">
      <w:pPr>
        <w:pBdr>
          <w:top w:val="nil"/>
          <w:left w:val="nil"/>
          <w:bottom w:val="nil"/>
          <w:right w:val="nil"/>
          <w:between w:val="nil"/>
        </w:pBdr>
        <w:spacing w:line="276" w:lineRule="auto"/>
        <w:ind w:left="720"/>
        <w:rPr>
          <w:sz w:val="22"/>
        </w:rPr>
      </w:pPr>
    </w:p>
    <w:p w:rsidR="00050ED1" w:rsidRPr="00FA373E" w:rsidRDefault="00050ED1" w:rsidP="00050ED1">
      <w:pPr>
        <w:spacing w:line="276" w:lineRule="auto"/>
        <w:ind w:left="720"/>
        <w:rPr>
          <w:sz w:val="22"/>
        </w:rPr>
      </w:pPr>
      <w:r w:rsidRPr="00FA373E">
        <w:rPr>
          <w:sz w:val="22"/>
        </w:rPr>
        <w:t xml:space="preserve">Bids must be duly received by the BAC Secretariat at the address below on or before 16 December 2019 at 9:00 AM.  All Bids must be accompanied by a bid security in any of the acceptable forms and in the amount stated in </w:t>
      </w:r>
      <w:r w:rsidRPr="00FA373E">
        <w:rPr>
          <w:b/>
          <w:sz w:val="22"/>
        </w:rPr>
        <w:t>ITB</w:t>
      </w:r>
      <w:r w:rsidRPr="00FA373E">
        <w:rPr>
          <w:sz w:val="22"/>
        </w:rPr>
        <w:t xml:space="preserve"> Clause 18.</w:t>
      </w:r>
    </w:p>
    <w:p w:rsidR="00050ED1" w:rsidRPr="00FA373E" w:rsidRDefault="00050ED1" w:rsidP="00050ED1">
      <w:pPr>
        <w:spacing w:line="276" w:lineRule="auto"/>
        <w:ind w:left="720"/>
        <w:rPr>
          <w:sz w:val="22"/>
        </w:rPr>
      </w:pPr>
    </w:p>
    <w:p w:rsidR="00050ED1" w:rsidRPr="00FA373E" w:rsidRDefault="00050ED1" w:rsidP="00050ED1">
      <w:pPr>
        <w:spacing w:line="276" w:lineRule="auto"/>
        <w:ind w:left="720"/>
        <w:rPr>
          <w:sz w:val="22"/>
        </w:rPr>
      </w:pPr>
      <w:r w:rsidRPr="00FA373E">
        <w:rPr>
          <w:sz w:val="22"/>
        </w:rPr>
        <w:t xml:space="preserve">Bid opening shall be on 16 December 2019 at 10:00 AM at </w:t>
      </w:r>
      <w:r w:rsidRPr="00FA373E">
        <w:rPr>
          <w:rFonts w:ascii="Cambria" w:eastAsia="Cambria" w:hAnsi="Cambria" w:cs="Cambria"/>
          <w:sz w:val="22"/>
        </w:rPr>
        <w:t>2</w:t>
      </w:r>
      <w:r w:rsidRPr="00FA373E">
        <w:rPr>
          <w:rFonts w:ascii="Cambria" w:eastAsia="Cambria" w:hAnsi="Cambria" w:cs="Cambria"/>
          <w:sz w:val="22"/>
          <w:vertAlign w:val="superscript"/>
        </w:rPr>
        <w:t>nd</w:t>
      </w:r>
      <w:r w:rsidRPr="00FA373E">
        <w:rPr>
          <w:rFonts w:ascii="Cambria" w:eastAsia="Cambria" w:hAnsi="Cambria" w:cs="Cambria"/>
          <w:sz w:val="22"/>
        </w:rPr>
        <w:t xml:space="preserve"> Floor </w:t>
      </w:r>
      <w:proofErr w:type="spellStart"/>
      <w:r w:rsidRPr="00FA373E">
        <w:rPr>
          <w:rFonts w:ascii="Cambria" w:eastAsia="Cambria" w:hAnsi="Cambria" w:cs="Cambria"/>
          <w:sz w:val="22"/>
        </w:rPr>
        <w:t>Bonifacio</w:t>
      </w:r>
      <w:proofErr w:type="spellEnd"/>
      <w:r w:rsidRPr="00FA373E">
        <w:rPr>
          <w:rFonts w:ascii="Cambria" w:eastAsia="Cambria" w:hAnsi="Cambria" w:cs="Cambria"/>
          <w:sz w:val="22"/>
        </w:rPr>
        <w:t xml:space="preserve"> Technology </w:t>
      </w:r>
      <w:proofErr w:type="spellStart"/>
      <w:r w:rsidRPr="00FA373E">
        <w:rPr>
          <w:rFonts w:ascii="Cambria" w:eastAsia="Cambria" w:hAnsi="Cambria" w:cs="Cambria"/>
          <w:sz w:val="22"/>
        </w:rPr>
        <w:t>Center</w:t>
      </w:r>
      <w:proofErr w:type="spellEnd"/>
      <w:r w:rsidRPr="00FA373E">
        <w:rPr>
          <w:rFonts w:ascii="Cambria" w:eastAsia="Cambria" w:hAnsi="Cambria" w:cs="Cambria"/>
          <w:sz w:val="22"/>
        </w:rPr>
        <w:t>, 31</w:t>
      </w:r>
      <w:r w:rsidRPr="00FA373E">
        <w:rPr>
          <w:rFonts w:ascii="Cambria" w:eastAsia="Cambria" w:hAnsi="Cambria" w:cs="Cambria"/>
          <w:sz w:val="22"/>
          <w:vertAlign w:val="superscript"/>
        </w:rPr>
        <w:t>st</w:t>
      </w:r>
      <w:r w:rsidRPr="00FA373E">
        <w:rPr>
          <w:rFonts w:ascii="Cambria" w:eastAsia="Cambria" w:hAnsi="Cambria" w:cs="Cambria"/>
          <w:sz w:val="22"/>
        </w:rPr>
        <w:t xml:space="preserve"> St. cor. 2</w:t>
      </w:r>
      <w:r w:rsidRPr="00FA373E">
        <w:rPr>
          <w:rFonts w:ascii="Cambria" w:eastAsia="Cambria" w:hAnsi="Cambria" w:cs="Cambria"/>
          <w:sz w:val="22"/>
          <w:vertAlign w:val="superscript"/>
        </w:rPr>
        <w:t>nd</w:t>
      </w:r>
      <w:r w:rsidRPr="00FA373E">
        <w:rPr>
          <w:rFonts w:ascii="Cambria" w:eastAsia="Cambria" w:hAnsi="Cambria" w:cs="Cambria"/>
          <w:sz w:val="22"/>
        </w:rPr>
        <w:t xml:space="preserve"> Avenue, </w:t>
      </w:r>
      <w:proofErr w:type="spellStart"/>
      <w:r w:rsidRPr="00FA373E">
        <w:rPr>
          <w:rFonts w:ascii="Cambria" w:eastAsia="Cambria" w:hAnsi="Cambria" w:cs="Cambria"/>
          <w:sz w:val="22"/>
        </w:rPr>
        <w:t>Bonifacio</w:t>
      </w:r>
      <w:proofErr w:type="spellEnd"/>
      <w:r w:rsidRPr="00FA373E">
        <w:rPr>
          <w:rFonts w:ascii="Cambria" w:eastAsia="Cambria" w:hAnsi="Cambria" w:cs="Cambria"/>
          <w:sz w:val="22"/>
        </w:rPr>
        <w:t xml:space="preserve"> Global City, </w:t>
      </w:r>
      <w:proofErr w:type="spellStart"/>
      <w:r w:rsidRPr="00FA373E">
        <w:rPr>
          <w:rFonts w:ascii="Cambria" w:eastAsia="Cambria" w:hAnsi="Cambria" w:cs="Cambria"/>
          <w:sz w:val="22"/>
        </w:rPr>
        <w:t>Taguig</w:t>
      </w:r>
      <w:proofErr w:type="spellEnd"/>
      <w:r w:rsidRPr="00FA373E">
        <w:rPr>
          <w:rFonts w:ascii="Cambria" w:eastAsia="Cambria" w:hAnsi="Cambria" w:cs="Cambria"/>
          <w:sz w:val="22"/>
        </w:rPr>
        <w:t xml:space="preserve"> City</w:t>
      </w:r>
      <w:r w:rsidRPr="00FA373E">
        <w:rPr>
          <w:sz w:val="22"/>
        </w:rPr>
        <w:t>. Bids will be opened in the presence of the bidders’ representatives who choose to attend at the address below. Late bids shall not be accepted.</w:t>
      </w:r>
    </w:p>
    <w:p w:rsidR="00050ED1" w:rsidRPr="00FA373E" w:rsidRDefault="00050ED1" w:rsidP="00050ED1">
      <w:pPr>
        <w:spacing w:line="276" w:lineRule="auto"/>
        <w:ind w:left="720"/>
        <w:rPr>
          <w:sz w:val="22"/>
        </w:rPr>
      </w:pPr>
    </w:p>
    <w:p w:rsidR="00050ED1" w:rsidRPr="00FA373E" w:rsidRDefault="00050ED1" w:rsidP="00050ED1">
      <w:pPr>
        <w:numPr>
          <w:ilvl w:val="0"/>
          <w:numId w:val="1"/>
        </w:numPr>
        <w:pBdr>
          <w:top w:val="nil"/>
          <w:left w:val="nil"/>
          <w:bottom w:val="nil"/>
          <w:right w:val="nil"/>
          <w:between w:val="nil"/>
        </w:pBdr>
        <w:spacing w:line="276" w:lineRule="auto"/>
        <w:rPr>
          <w:sz w:val="22"/>
        </w:rPr>
      </w:pPr>
      <w:r w:rsidRPr="00FA373E">
        <w:rPr>
          <w:sz w:val="22"/>
        </w:rPr>
        <w:t>BCDA reserves the right to reject any and all bids, declare a failure of bidding, or not award the contract at any time prior to contract award in accordance with Section 41 of RA 9184 and its IRR, without thereby incurring any liability to the affected bidder or bidders.</w:t>
      </w:r>
    </w:p>
    <w:p w:rsidR="00050ED1" w:rsidRPr="00FA373E" w:rsidRDefault="00050ED1" w:rsidP="00050ED1">
      <w:pPr>
        <w:spacing w:line="276" w:lineRule="auto"/>
        <w:rPr>
          <w:sz w:val="22"/>
        </w:rPr>
      </w:pPr>
    </w:p>
    <w:p w:rsidR="00050ED1" w:rsidRPr="00FA373E" w:rsidRDefault="00050ED1" w:rsidP="00050ED1">
      <w:pPr>
        <w:numPr>
          <w:ilvl w:val="0"/>
          <w:numId w:val="1"/>
        </w:numPr>
        <w:pBdr>
          <w:top w:val="nil"/>
          <w:left w:val="nil"/>
          <w:bottom w:val="nil"/>
          <w:right w:val="nil"/>
          <w:between w:val="nil"/>
        </w:pBdr>
        <w:spacing w:line="276" w:lineRule="auto"/>
        <w:rPr>
          <w:sz w:val="22"/>
        </w:rPr>
      </w:pPr>
      <w:r w:rsidRPr="00FA373E">
        <w:rPr>
          <w:sz w:val="22"/>
        </w:rPr>
        <w:t xml:space="preserve">For </w:t>
      </w:r>
      <w:r>
        <w:rPr>
          <w:sz w:val="22"/>
        </w:rPr>
        <w:t>more</w:t>
      </w:r>
      <w:r w:rsidRPr="00FA373E">
        <w:rPr>
          <w:sz w:val="22"/>
        </w:rPr>
        <w:t xml:space="preserve"> information, please refer to:</w:t>
      </w:r>
    </w:p>
    <w:p w:rsidR="00050ED1" w:rsidRPr="00FA373E" w:rsidRDefault="00050ED1" w:rsidP="00050ED1">
      <w:pPr>
        <w:spacing w:line="276" w:lineRule="auto"/>
        <w:rPr>
          <w:i/>
          <w:sz w:val="22"/>
        </w:rPr>
      </w:pPr>
      <w:r w:rsidRPr="00FA373E">
        <w:rPr>
          <w:sz w:val="22"/>
        </w:rPr>
        <w:tab/>
      </w:r>
    </w:p>
    <w:p w:rsidR="00050ED1" w:rsidRPr="00FA373E" w:rsidRDefault="00050ED1" w:rsidP="00050ED1">
      <w:pPr>
        <w:spacing w:line="276" w:lineRule="auto"/>
        <w:ind w:left="720"/>
        <w:rPr>
          <w:sz w:val="22"/>
        </w:rPr>
      </w:pPr>
      <w:proofErr w:type="spellStart"/>
      <w:r w:rsidRPr="00FA373E">
        <w:rPr>
          <w:sz w:val="22"/>
        </w:rPr>
        <w:t>Ms.</w:t>
      </w:r>
      <w:proofErr w:type="spellEnd"/>
      <w:r w:rsidRPr="00FA373E">
        <w:rPr>
          <w:sz w:val="22"/>
        </w:rPr>
        <w:t xml:space="preserve"> </w:t>
      </w:r>
      <w:proofErr w:type="spellStart"/>
      <w:r w:rsidRPr="00FA373E">
        <w:rPr>
          <w:sz w:val="22"/>
        </w:rPr>
        <w:t>Queennie</w:t>
      </w:r>
      <w:proofErr w:type="spellEnd"/>
      <w:r w:rsidRPr="00FA373E">
        <w:rPr>
          <w:sz w:val="22"/>
        </w:rPr>
        <w:t xml:space="preserve"> P. Bautista        </w:t>
      </w:r>
    </w:p>
    <w:p w:rsidR="00050ED1" w:rsidRPr="00FA373E" w:rsidRDefault="00050ED1" w:rsidP="00050ED1">
      <w:pPr>
        <w:spacing w:line="276" w:lineRule="auto"/>
        <w:ind w:left="720"/>
        <w:rPr>
          <w:sz w:val="22"/>
        </w:rPr>
      </w:pPr>
      <w:r w:rsidRPr="00FA373E">
        <w:rPr>
          <w:sz w:val="22"/>
        </w:rPr>
        <w:t xml:space="preserve">Member, BAC for Goods Secretariat </w:t>
      </w:r>
    </w:p>
    <w:p w:rsidR="00050ED1" w:rsidRPr="00FA373E" w:rsidRDefault="00050ED1" w:rsidP="00050ED1">
      <w:pPr>
        <w:spacing w:line="276" w:lineRule="auto"/>
        <w:ind w:left="720"/>
        <w:rPr>
          <w:i/>
          <w:sz w:val="22"/>
        </w:rPr>
      </w:pPr>
      <w:r w:rsidRPr="00FA373E">
        <w:rPr>
          <w:i/>
          <w:sz w:val="22"/>
        </w:rPr>
        <w:t>8575-1700 local 1721</w:t>
      </w:r>
    </w:p>
    <w:p w:rsidR="00050ED1" w:rsidRPr="00FA373E" w:rsidRDefault="00050ED1" w:rsidP="00050ED1">
      <w:pPr>
        <w:spacing w:line="276" w:lineRule="auto"/>
        <w:rPr>
          <w:sz w:val="22"/>
        </w:rPr>
      </w:pPr>
    </w:p>
    <w:p w:rsidR="00050ED1" w:rsidRPr="00FA373E" w:rsidRDefault="00050ED1" w:rsidP="00050ED1">
      <w:pPr>
        <w:spacing w:line="276" w:lineRule="auto"/>
        <w:ind w:firstLine="720"/>
        <w:rPr>
          <w:b/>
          <w:sz w:val="22"/>
        </w:rPr>
      </w:pPr>
      <w:r w:rsidRPr="00FA373E">
        <w:rPr>
          <w:b/>
          <w:sz w:val="22"/>
        </w:rPr>
        <w:t>BIDS AND AWARDS COMMITTEE FOR GOODS</w:t>
      </w:r>
    </w:p>
    <w:p w:rsidR="00050ED1" w:rsidRPr="00FA373E" w:rsidRDefault="00050ED1" w:rsidP="00050ED1">
      <w:pPr>
        <w:spacing w:line="276" w:lineRule="auto"/>
        <w:ind w:firstLine="720"/>
        <w:rPr>
          <w:sz w:val="22"/>
        </w:rPr>
      </w:pPr>
    </w:p>
    <w:p w:rsidR="00050ED1" w:rsidRPr="00FA373E" w:rsidRDefault="00050ED1" w:rsidP="00050ED1">
      <w:pPr>
        <w:spacing w:line="276" w:lineRule="auto"/>
        <w:ind w:firstLine="720"/>
        <w:rPr>
          <w:sz w:val="22"/>
        </w:rPr>
      </w:pPr>
    </w:p>
    <w:p w:rsidR="00050ED1" w:rsidRPr="00FA373E" w:rsidRDefault="00050ED1" w:rsidP="00050ED1">
      <w:pPr>
        <w:spacing w:line="276" w:lineRule="auto"/>
        <w:ind w:firstLine="720"/>
        <w:rPr>
          <w:sz w:val="22"/>
        </w:rPr>
      </w:pPr>
      <w:r w:rsidRPr="00FA373E">
        <w:rPr>
          <w:sz w:val="22"/>
        </w:rPr>
        <w:t>BY:</w:t>
      </w:r>
    </w:p>
    <w:p w:rsidR="00050ED1" w:rsidRPr="00FA373E" w:rsidRDefault="00050ED1" w:rsidP="00050ED1">
      <w:pPr>
        <w:spacing w:line="276" w:lineRule="auto"/>
        <w:ind w:left="3600" w:firstLine="720"/>
        <w:rPr>
          <w:rFonts w:ascii="Cambria" w:eastAsia="Cambria" w:hAnsi="Cambria" w:cs="Cambria"/>
          <w:sz w:val="22"/>
        </w:rPr>
      </w:pPr>
    </w:p>
    <w:p w:rsidR="00050ED1" w:rsidRPr="00FA373E" w:rsidRDefault="00050ED1" w:rsidP="00050ED1">
      <w:pPr>
        <w:spacing w:line="276" w:lineRule="auto"/>
        <w:rPr>
          <w:b/>
          <w:sz w:val="22"/>
        </w:rPr>
      </w:pPr>
      <w:r w:rsidRPr="00FA373E">
        <w:rPr>
          <w:b/>
          <w:sz w:val="22"/>
        </w:rPr>
        <w:t xml:space="preserve">            BGEN. CARLOS F. QUITA (RET)</w:t>
      </w:r>
    </w:p>
    <w:p w:rsidR="00050ED1" w:rsidRPr="00FA373E" w:rsidRDefault="00050ED1" w:rsidP="00050ED1">
      <w:pPr>
        <w:spacing w:line="276" w:lineRule="auto"/>
        <w:rPr>
          <w:b/>
          <w:sz w:val="22"/>
        </w:rPr>
      </w:pPr>
      <w:r w:rsidRPr="00FA373E">
        <w:rPr>
          <w:sz w:val="22"/>
        </w:rPr>
        <w:tab/>
        <w:t>Chairperson</w:t>
      </w:r>
    </w:p>
    <w:p w:rsidR="00050ED1" w:rsidRPr="00FA373E" w:rsidRDefault="00050ED1" w:rsidP="00050ED1">
      <w:pPr>
        <w:spacing w:line="276" w:lineRule="auto"/>
        <w:rPr>
          <w:b/>
          <w:sz w:val="22"/>
        </w:rPr>
      </w:pPr>
    </w:p>
    <w:p w:rsidR="00050ED1" w:rsidRPr="00FA373E" w:rsidRDefault="00050ED1" w:rsidP="00050ED1">
      <w:pPr>
        <w:spacing w:line="276" w:lineRule="auto"/>
        <w:rPr>
          <w:b/>
          <w:sz w:val="22"/>
        </w:rPr>
      </w:pPr>
    </w:p>
    <w:p w:rsidR="00050ED1" w:rsidRPr="00FA373E" w:rsidRDefault="00050ED1" w:rsidP="00050ED1">
      <w:pPr>
        <w:spacing w:line="276" w:lineRule="auto"/>
        <w:ind w:left="720"/>
        <w:rPr>
          <w:b/>
          <w:sz w:val="22"/>
        </w:rPr>
      </w:pPr>
      <w:r w:rsidRPr="00FA373E">
        <w:rPr>
          <w:b/>
          <w:sz w:val="22"/>
        </w:rPr>
        <w:t>Date of Posting:</w:t>
      </w:r>
    </w:p>
    <w:p w:rsidR="00050ED1" w:rsidRPr="00FA373E" w:rsidRDefault="00050ED1" w:rsidP="00050ED1">
      <w:pPr>
        <w:spacing w:line="276" w:lineRule="auto"/>
        <w:ind w:left="720"/>
        <w:rPr>
          <w:sz w:val="22"/>
        </w:rPr>
      </w:pPr>
      <w:r w:rsidRPr="00FA373E">
        <w:rPr>
          <w:sz w:val="22"/>
        </w:rPr>
        <w:t>23 November 2019</w:t>
      </w:r>
    </w:p>
    <w:p w:rsidR="00050ED1" w:rsidRPr="00FA373E" w:rsidRDefault="00050ED1" w:rsidP="00050ED1">
      <w:pPr>
        <w:rPr>
          <w:sz w:val="22"/>
        </w:rPr>
      </w:pPr>
      <w:bookmarkStart w:id="0" w:name="_y1n5vm9i4uhs" w:colFirst="0" w:colLast="0"/>
      <w:bookmarkEnd w:id="0"/>
    </w:p>
    <w:p w:rsidR="00050ED1" w:rsidRPr="00FA373E" w:rsidRDefault="00050ED1" w:rsidP="00050ED1">
      <w:pPr>
        <w:rPr>
          <w:sz w:val="22"/>
        </w:rPr>
      </w:pPr>
    </w:p>
    <w:p w:rsidR="0076687E" w:rsidRDefault="0076687E">
      <w:bookmarkStart w:id="1" w:name="_GoBack"/>
      <w:bookmarkEnd w:id="1"/>
    </w:p>
    <w:sectPr w:rsidR="00766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panose1 w:val="02020803070505020304"/>
    <w:charset w:val="00"/>
    <w:family w:val="auto"/>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63023"/>
    <w:multiLevelType w:val="multilevel"/>
    <w:tmpl w:val="B4745B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D1"/>
    <w:rsid w:val="00050ED1"/>
    <w:rsid w:val="0076687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A914A-C384-4CAD-B70A-ACB36847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0ED1"/>
    <w:pPr>
      <w:spacing w:after="0" w:line="240" w:lineRule="auto"/>
      <w:jc w:val="both"/>
    </w:pPr>
    <w:rPr>
      <w:rFonts w:ascii="Times New Roman" w:eastAsia="Times New Roman" w:hAnsi="Times New Roman" w:cs="Times New Roman"/>
      <w:sz w:val="24"/>
      <w:szCs w:val="24"/>
      <w:lang w:eastAsia="en-PH"/>
    </w:rPr>
  </w:style>
  <w:style w:type="paragraph" w:styleId="Heading4">
    <w:name w:val="heading 4"/>
    <w:basedOn w:val="Normal"/>
    <w:next w:val="Normal"/>
    <w:link w:val="Heading4Char"/>
    <w:uiPriority w:val="9"/>
    <w:semiHidden/>
    <w:unhideWhenUsed/>
    <w:qFormat/>
    <w:rsid w:val="00050ED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1">
    <w:name w:val="21"/>
    <w:basedOn w:val="TableNormal"/>
    <w:rsid w:val="00050ED1"/>
    <w:pPr>
      <w:spacing w:after="0" w:line="240" w:lineRule="auto"/>
      <w:jc w:val="both"/>
    </w:pPr>
    <w:rPr>
      <w:rFonts w:ascii="Times New Roman" w:eastAsia="Times New Roman" w:hAnsi="Times New Roman" w:cs="Times New Roman"/>
      <w:sz w:val="24"/>
      <w:szCs w:val="24"/>
      <w:lang w:eastAsia="en-PH"/>
    </w:rPr>
    <w:tblPr>
      <w:tblStyleRowBandSize w:val="1"/>
      <w:tblStyleColBandSize w:val="1"/>
      <w:tblInd w:w="0" w:type="dxa"/>
      <w:tblCellMar>
        <w:top w:w="100" w:type="dxa"/>
        <w:left w:w="100" w:type="dxa"/>
        <w:bottom w:w="100" w:type="dxa"/>
        <w:right w:w="100" w:type="dxa"/>
      </w:tblCellMar>
    </w:tblPr>
  </w:style>
  <w:style w:type="paragraph" w:styleId="NoSpacing">
    <w:name w:val="No Spacing"/>
    <w:link w:val="NoSpacingChar"/>
    <w:uiPriority w:val="1"/>
    <w:qFormat/>
    <w:rsid w:val="00050ED1"/>
    <w:pPr>
      <w:spacing w:after="0" w:line="240" w:lineRule="auto"/>
      <w:jc w:val="both"/>
    </w:pPr>
    <w:rPr>
      <w:rFonts w:ascii="Times New Roman" w:eastAsia="Times New Roman" w:hAnsi="Times New Roman" w:cs="Times New Roman"/>
      <w:sz w:val="24"/>
      <w:szCs w:val="24"/>
      <w:lang w:eastAsia="en-PH"/>
    </w:rPr>
  </w:style>
  <w:style w:type="table" w:styleId="TableGrid">
    <w:name w:val="Table Grid"/>
    <w:basedOn w:val="TableNormal"/>
    <w:uiPriority w:val="59"/>
    <w:rsid w:val="00050ED1"/>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050ED1"/>
    <w:rPr>
      <w:rFonts w:ascii="Times New Roman" w:eastAsia="Times New Roman" w:hAnsi="Times New Roman" w:cs="Times New Roman"/>
      <w:sz w:val="24"/>
      <w:szCs w:val="24"/>
      <w:lang w:eastAsia="en-PH"/>
    </w:rPr>
  </w:style>
  <w:style w:type="paragraph" w:customStyle="1" w:styleId="Heading5">
    <w:name w:val="Heading5"/>
    <w:basedOn w:val="Heading4"/>
    <w:qFormat/>
    <w:rsid w:val="00050ED1"/>
    <w:pPr>
      <w:keepLines w:val="0"/>
      <w:overflowPunct w:val="0"/>
      <w:autoSpaceDE w:val="0"/>
      <w:autoSpaceDN w:val="0"/>
      <w:adjustRightInd w:val="0"/>
      <w:spacing w:before="0"/>
      <w:jc w:val="center"/>
      <w:textAlignment w:val="baseline"/>
    </w:pPr>
    <w:rPr>
      <w:rFonts w:ascii="Times New Roman" w:eastAsia="Times New Roman" w:hAnsi="Times New Roman" w:cs="Times New Roman"/>
      <w:b/>
      <w:bCs/>
      <w:i w:val="0"/>
      <w:iCs w:val="0"/>
      <w:color w:val="auto"/>
      <w:sz w:val="28"/>
      <w:szCs w:val="28"/>
      <w:lang w:val="en-US" w:eastAsia="en-US"/>
    </w:rPr>
  </w:style>
  <w:style w:type="character" w:customStyle="1" w:styleId="Heading4Char">
    <w:name w:val="Heading 4 Char"/>
    <w:basedOn w:val="DefaultParagraphFont"/>
    <w:link w:val="Heading4"/>
    <w:uiPriority w:val="9"/>
    <w:semiHidden/>
    <w:rsid w:val="00050ED1"/>
    <w:rPr>
      <w:rFonts w:asciiTheme="majorHAnsi" w:eastAsiaTheme="majorEastAsia" w:hAnsiTheme="majorHAnsi" w:cstheme="majorBidi"/>
      <w:i/>
      <w:iCs/>
      <w:color w:val="2E74B5" w:themeColor="accent1" w:themeShade="BF"/>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Tolentino</dc:creator>
  <cp:keywords/>
  <dc:description/>
  <cp:lastModifiedBy>Donald Tolentino</cp:lastModifiedBy>
  <cp:revision>1</cp:revision>
  <dcterms:created xsi:type="dcterms:W3CDTF">2019-11-22T09:58:00Z</dcterms:created>
  <dcterms:modified xsi:type="dcterms:W3CDTF">2019-11-22T09:58:00Z</dcterms:modified>
</cp:coreProperties>
</file>