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33" w:rsidRDefault="00206F3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206F33" w:rsidRDefault="00206F33">
      <w:pPr>
        <w:spacing w:after="0" w:line="240" w:lineRule="auto"/>
        <w:ind w:left="720" w:firstLine="720"/>
        <w:rPr>
          <w:rFonts w:ascii="Cambria" w:eastAsia="Cambria" w:hAnsi="Cambria" w:cs="Cambria"/>
          <w:sz w:val="24"/>
          <w:szCs w:val="24"/>
        </w:rPr>
      </w:pPr>
    </w:p>
    <w:p w:rsidR="00206F33" w:rsidRDefault="00FF109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BIDS AND AWARDS COMMITTEE (BAC) FOR GOODS</w:t>
      </w:r>
    </w:p>
    <w:p w:rsidR="00206F33" w:rsidRDefault="00FF1090">
      <w:pPr>
        <w:spacing w:after="0" w:line="240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Procurement of I.T. Equipment And Software for 2017</w:t>
      </w:r>
    </w:p>
    <w:p w:rsidR="00206F33" w:rsidRDefault="00FF1090">
      <w:pPr>
        <w:spacing w:after="0" w:line="240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(Rebidding)</w:t>
      </w:r>
    </w:p>
    <w:p w:rsidR="00206F33" w:rsidRDefault="00206F33">
      <w:pPr>
        <w:spacing w:after="0" w:line="240" w:lineRule="auto"/>
        <w:ind w:left="720" w:firstLine="720"/>
        <w:rPr>
          <w:rFonts w:ascii="Cambria" w:eastAsia="Cambria" w:hAnsi="Cambria" w:cs="Cambria"/>
          <w:sz w:val="24"/>
          <w:szCs w:val="24"/>
        </w:rPr>
      </w:pPr>
    </w:p>
    <w:p w:rsidR="00206F33" w:rsidRDefault="00FF1090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RESOLUTION NO. BG-2017-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40</w:t>
      </w:r>
    </w:p>
    <w:p w:rsidR="00206F33" w:rsidRDefault="00206F33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206F33" w:rsidRDefault="00FF109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WHEREAS</w:t>
      </w:r>
      <w:r>
        <w:rPr>
          <w:rFonts w:ascii="Cambria" w:eastAsia="Cambria" w:hAnsi="Cambria" w:cs="Cambria"/>
        </w:rPr>
        <w:t xml:space="preserve">, the BASES CONVERSION AND DEVELOPMENT AUTHORITY (BCDA) has put on bid the </w:t>
      </w:r>
      <w:r>
        <w:rPr>
          <w:rFonts w:ascii="Cambria" w:eastAsia="Cambria" w:hAnsi="Cambria" w:cs="Cambria"/>
          <w:b/>
          <w:smallCaps/>
        </w:rPr>
        <w:t xml:space="preserve">PROCUREMENT OF I.T. EQUIPMENT AND SOFTWARE FOR 2017 </w:t>
      </w:r>
      <w:r>
        <w:rPr>
          <w:rFonts w:ascii="Cambria" w:eastAsia="Cambria" w:hAnsi="Cambria" w:cs="Cambria"/>
        </w:rPr>
        <w:t xml:space="preserve">with an Approved Budget for the Contract (ABC) in the amount of </w:t>
      </w:r>
      <w:r>
        <w:rPr>
          <w:rFonts w:ascii="Cambria" w:eastAsia="Cambria" w:hAnsi="Cambria" w:cs="Cambria"/>
          <w:b/>
        </w:rPr>
        <w:t xml:space="preserve">Pesos: </w:t>
      </w:r>
      <w:r>
        <w:rPr>
          <w:rFonts w:ascii="Cambria" w:eastAsia="Cambria" w:hAnsi="Cambria" w:cs="Cambria"/>
          <w:b/>
        </w:rPr>
        <w:t>One Million Seven Hundred Forty Thousand</w:t>
      </w:r>
      <w:r>
        <w:rPr>
          <w:rFonts w:ascii="Cambria" w:eastAsia="Cambria" w:hAnsi="Cambria" w:cs="Cambria"/>
          <w:b/>
        </w:rPr>
        <w:t xml:space="preserve"> (</w:t>
      </w:r>
      <w:proofErr w:type="spellStart"/>
      <w:r>
        <w:rPr>
          <w:rFonts w:ascii="Cambria" w:eastAsia="Cambria" w:hAnsi="Cambria" w:cs="Cambria"/>
          <w:b/>
        </w:rPr>
        <w:t>PhP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>740</w:t>
      </w:r>
      <w:r>
        <w:rPr>
          <w:rFonts w:ascii="Cambria" w:eastAsia="Cambria" w:hAnsi="Cambria" w:cs="Cambria"/>
          <w:b/>
        </w:rPr>
        <w:t xml:space="preserve">,000.00), </w:t>
      </w:r>
      <w:r>
        <w:rPr>
          <w:rFonts w:ascii="Cambria" w:eastAsia="Cambria" w:hAnsi="Cambria" w:cs="Cambria"/>
        </w:rPr>
        <w:t>inclusive of all applicable taxes and fees, with breakdown as follows:</w:t>
      </w:r>
    </w:p>
    <w:p w:rsidR="00206F33" w:rsidRDefault="00206F33" w:rsidP="008D23B9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tbl>
      <w:tblPr>
        <w:tblStyle w:val="a"/>
        <w:tblW w:w="6626" w:type="dxa"/>
        <w:tblInd w:w="1326" w:type="dxa"/>
        <w:tblLayout w:type="fixed"/>
        <w:tblLook w:val="0000" w:firstRow="0" w:lastRow="0" w:firstColumn="0" w:lastColumn="0" w:noHBand="0" w:noVBand="0"/>
      </w:tblPr>
      <w:tblGrid>
        <w:gridCol w:w="759"/>
        <w:gridCol w:w="3126"/>
        <w:gridCol w:w="877"/>
        <w:gridCol w:w="1864"/>
      </w:tblGrid>
      <w:tr w:rsidR="00206F33">
        <w:trPr>
          <w:trHeight w:val="28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Lot</w:t>
            </w:r>
          </w:p>
        </w:tc>
        <w:tc>
          <w:tcPr>
            <w:tcW w:w="3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Description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Qty.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Total</w:t>
            </w:r>
          </w:p>
        </w:tc>
      </w:tr>
      <w:tr w:rsidR="00206F33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Barcode Printer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60,000.00</w:t>
            </w:r>
          </w:p>
        </w:tc>
      </w:tr>
      <w:tr w:rsidR="00206F33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Barcode Scanner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140,000.00</w:t>
            </w:r>
          </w:p>
        </w:tc>
      </w:tr>
      <w:tr w:rsidR="00206F33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 Projector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350</w:t>
            </w:r>
            <w:r>
              <w:rPr>
                <w:rFonts w:ascii="Cambria" w:eastAsia="Cambria" w:hAnsi="Cambria" w:cs="Cambria"/>
              </w:rPr>
              <w:t>,000.00</w:t>
            </w:r>
          </w:p>
        </w:tc>
      </w:tr>
      <w:tr w:rsidR="00206F33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206F33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 Short Throw Projector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70</w:t>
            </w:r>
            <w:r>
              <w:rPr>
                <w:rFonts w:ascii="Cambria" w:eastAsia="Cambria" w:hAnsi="Cambria" w:cs="Cambria"/>
              </w:rPr>
              <w:t>,000.00</w:t>
            </w:r>
          </w:p>
        </w:tc>
      </w:tr>
      <w:tr w:rsidR="00206F33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Wireless LAN Access Point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220</w:t>
            </w:r>
            <w:r>
              <w:rPr>
                <w:rFonts w:ascii="Cambria" w:eastAsia="Cambria" w:hAnsi="Cambria" w:cs="Cambria"/>
              </w:rPr>
              <w:t>,000.00</w:t>
            </w:r>
          </w:p>
        </w:tc>
      </w:tr>
      <w:tr w:rsidR="00206F33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Data Center UPS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900,000</w:t>
            </w:r>
            <w:r>
              <w:rPr>
                <w:rFonts w:ascii="Cambria" w:eastAsia="Cambria" w:hAnsi="Cambria" w:cs="Cambria"/>
              </w:rPr>
              <w:t>.00</w:t>
            </w:r>
          </w:p>
        </w:tc>
      </w:tr>
      <w:tr w:rsidR="00206F33">
        <w:trPr>
          <w:trHeight w:val="28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F33" w:rsidRDefault="00206F33">
            <w:pPr>
              <w:spacing w:after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F33" w:rsidRDefault="00FF1090">
            <w:pPr>
              <w:spacing w:after="0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Total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PhP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F33" w:rsidRDefault="00FF1090">
            <w:pPr>
              <w:spacing w:after="0" w:line="240" w:lineRule="auto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u w:val="single"/>
              </w:rPr>
              <w:t>1</w:t>
            </w:r>
            <w:r>
              <w:rPr>
                <w:rFonts w:ascii="Cambria" w:eastAsia="Cambria" w:hAnsi="Cambria" w:cs="Cambria"/>
                <w:b/>
                <w:u w:val="single"/>
              </w:rPr>
              <w:t>,</w:t>
            </w:r>
            <w:r>
              <w:rPr>
                <w:rFonts w:ascii="Cambria" w:eastAsia="Cambria" w:hAnsi="Cambria" w:cs="Cambria"/>
                <w:b/>
                <w:u w:val="single"/>
              </w:rPr>
              <w:t>740</w:t>
            </w:r>
            <w:r>
              <w:rPr>
                <w:rFonts w:ascii="Cambria" w:eastAsia="Cambria" w:hAnsi="Cambria" w:cs="Cambria"/>
                <w:b/>
                <w:u w:val="single"/>
              </w:rPr>
              <w:t>,000.00</w:t>
            </w:r>
          </w:p>
        </w:tc>
      </w:tr>
    </w:tbl>
    <w:p w:rsidR="00206F33" w:rsidRDefault="00206F33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206F33" w:rsidRDefault="00FF1090" w:rsidP="008D23B9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WHEREAS</w:t>
      </w:r>
      <w:r>
        <w:rPr>
          <w:rFonts w:ascii="Cambria" w:eastAsia="Cambria" w:hAnsi="Cambria" w:cs="Cambria"/>
        </w:rPr>
        <w:t xml:space="preserve">, the BAC-G, through its Secretariat, </w:t>
      </w:r>
      <w:r>
        <w:rPr>
          <w:rFonts w:ascii="Cambria" w:eastAsia="Cambria" w:hAnsi="Cambria" w:cs="Cambria"/>
        </w:rPr>
        <w:t>posted</w:t>
      </w:r>
      <w:r>
        <w:rPr>
          <w:rFonts w:ascii="Cambria" w:eastAsia="Cambria" w:hAnsi="Cambria" w:cs="Cambria"/>
        </w:rPr>
        <w:t xml:space="preserve"> the Invitation to Bid (IB) on </w:t>
      </w:r>
      <w:r>
        <w:rPr>
          <w:rFonts w:ascii="Cambria" w:eastAsia="Cambria" w:hAnsi="Cambria" w:cs="Cambria"/>
        </w:rPr>
        <w:t>16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October</w:t>
      </w:r>
      <w:r>
        <w:rPr>
          <w:rFonts w:ascii="Cambria" w:eastAsia="Cambria" w:hAnsi="Cambria" w:cs="Cambria"/>
        </w:rPr>
        <w:t xml:space="preserve"> 2017 in the DBM Philippine Government Electronic Procurement System (</w:t>
      </w:r>
      <w:proofErr w:type="spellStart"/>
      <w:r>
        <w:rPr>
          <w:rFonts w:ascii="Cambria" w:eastAsia="Cambria" w:hAnsi="Cambria" w:cs="Cambria"/>
        </w:rPr>
        <w:t>PhilGEPS</w:t>
      </w:r>
      <w:proofErr w:type="spellEnd"/>
      <w:r>
        <w:rPr>
          <w:rFonts w:ascii="Cambria" w:eastAsia="Cambria" w:hAnsi="Cambria" w:cs="Cambria"/>
        </w:rPr>
        <w:t>) website, BCDA website, and</w:t>
      </w:r>
      <w:r>
        <w:rPr>
          <w:rFonts w:ascii="Cambria" w:eastAsia="Cambria" w:hAnsi="Cambria" w:cs="Cambria"/>
        </w:rPr>
        <w:t xml:space="preserve"> i</w:t>
      </w:r>
      <w:r>
        <w:rPr>
          <w:rFonts w:ascii="Cambria" w:eastAsia="Cambria" w:hAnsi="Cambria" w:cs="Cambria"/>
        </w:rPr>
        <w:t>n a conspicuous place reserved for the purpose in the</w:t>
      </w:r>
      <w:r>
        <w:rPr>
          <w:rFonts w:ascii="Cambria" w:eastAsia="Cambria" w:hAnsi="Cambria" w:cs="Cambria"/>
        </w:rPr>
        <w:t xml:space="preserve"> premises of BCDA;</w:t>
      </w:r>
    </w:p>
    <w:p w:rsidR="00206F33" w:rsidRDefault="00206F33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206F33" w:rsidRDefault="00FF1090">
      <w:p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WHEREAS</w:t>
      </w:r>
      <w:r>
        <w:rPr>
          <w:rFonts w:ascii="Cambria" w:eastAsia="Cambria" w:hAnsi="Cambria" w:cs="Cambria"/>
        </w:rPr>
        <w:t xml:space="preserve">, in response to the </w:t>
      </w:r>
      <w:r>
        <w:rPr>
          <w:rFonts w:ascii="Cambria" w:eastAsia="Cambria" w:hAnsi="Cambria" w:cs="Cambria"/>
        </w:rPr>
        <w:t>poste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</w:rPr>
        <w:t>IB</w:t>
      </w:r>
      <w:r>
        <w:rPr>
          <w:rFonts w:ascii="Cambria" w:eastAsia="Cambria" w:hAnsi="Cambria" w:cs="Cambria"/>
        </w:rPr>
        <w:t>, t</w:t>
      </w:r>
      <w:r>
        <w:rPr>
          <w:rFonts w:ascii="Cambria" w:eastAsia="Cambria" w:hAnsi="Cambria" w:cs="Cambria"/>
        </w:rPr>
        <w:t>wo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 xml:space="preserve">) interested bidders bought the bid documents, namely: 1) </w:t>
      </w:r>
      <w:r w:rsidR="006378CD">
        <w:rPr>
          <w:rFonts w:ascii="Cambria" w:eastAsia="Cambria" w:hAnsi="Cambria" w:cs="Cambria"/>
        </w:rPr>
        <w:t xml:space="preserve">AVLS </w:t>
      </w:r>
      <w:r>
        <w:rPr>
          <w:rFonts w:ascii="Cambria" w:eastAsia="Cambria" w:hAnsi="Cambria" w:cs="Cambria"/>
        </w:rPr>
        <w:t>All Visual &amp; Lights Systems Corp</w:t>
      </w:r>
      <w:r w:rsidR="006378CD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(</w:t>
      </w:r>
      <w:r w:rsidRPr="006378CD">
        <w:rPr>
          <w:rFonts w:ascii="Cambria" w:eastAsia="Cambria" w:hAnsi="Cambria" w:cs="Cambria"/>
          <w:i/>
        </w:rPr>
        <w:t>AVLS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 xml:space="preserve">; and, 2) </w:t>
      </w:r>
      <w:proofErr w:type="spellStart"/>
      <w:r>
        <w:rPr>
          <w:rFonts w:ascii="Cambria" w:eastAsia="Cambria" w:hAnsi="Cambria" w:cs="Cambria"/>
        </w:rPr>
        <w:t>Powercraft</w:t>
      </w:r>
      <w:proofErr w:type="spellEnd"/>
      <w:r>
        <w:rPr>
          <w:rFonts w:ascii="Cambria" w:eastAsia="Cambria" w:hAnsi="Cambria" w:cs="Cambria"/>
        </w:rPr>
        <w:t xml:space="preserve"> Solutions &amp; Data Infrastructure, Inc.</w:t>
      </w:r>
      <w:r w:rsidR="006378CD">
        <w:rPr>
          <w:rFonts w:ascii="Cambria" w:eastAsia="Cambria" w:hAnsi="Cambria" w:cs="Cambria"/>
        </w:rPr>
        <w:t xml:space="preserve"> (</w:t>
      </w:r>
      <w:proofErr w:type="spellStart"/>
      <w:r w:rsidR="006378CD" w:rsidRPr="006378CD">
        <w:rPr>
          <w:rFonts w:ascii="Cambria" w:eastAsia="Cambria" w:hAnsi="Cambria" w:cs="Cambria"/>
          <w:i/>
        </w:rPr>
        <w:t>Powercraft</w:t>
      </w:r>
      <w:proofErr w:type="spellEnd"/>
      <w:r w:rsidR="006378CD"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>;</w:t>
      </w:r>
    </w:p>
    <w:p w:rsidR="00206F33" w:rsidRDefault="00FF1090">
      <w:p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WHEREAS</w:t>
      </w:r>
      <w:r>
        <w:rPr>
          <w:rFonts w:ascii="Cambria" w:eastAsia="Cambria" w:hAnsi="Cambria" w:cs="Cambria"/>
        </w:rPr>
        <w:t xml:space="preserve">, on the scheduled Opening </w:t>
      </w:r>
      <w:r>
        <w:rPr>
          <w:rFonts w:ascii="Cambria" w:eastAsia="Cambria" w:hAnsi="Cambria" w:cs="Cambria"/>
        </w:rPr>
        <w:t xml:space="preserve">of Bids, BAC-G received </w:t>
      </w:r>
      <w:r>
        <w:rPr>
          <w:rFonts w:ascii="Cambria" w:eastAsia="Cambria" w:hAnsi="Cambria" w:cs="Cambria"/>
        </w:rPr>
        <w:t>two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 xml:space="preserve">) proposals, from those </w:t>
      </w:r>
      <w:proofErr w:type="gramStart"/>
      <w:r>
        <w:rPr>
          <w:rFonts w:ascii="Cambria" w:eastAsia="Cambria" w:hAnsi="Cambria" w:cs="Cambria"/>
        </w:rPr>
        <w:t>who</w:t>
      </w:r>
      <w:proofErr w:type="gramEnd"/>
      <w:r>
        <w:rPr>
          <w:rFonts w:ascii="Cambria" w:eastAsia="Cambria" w:hAnsi="Cambria" w:cs="Cambria"/>
        </w:rPr>
        <w:t xml:space="preserve"> bought the bid documents;</w:t>
      </w:r>
    </w:p>
    <w:p w:rsidR="00206F33" w:rsidRDefault="00FF109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WHEREAS</w:t>
      </w:r>
      <w:r>
        <w:rPr>
          <w:rFonts w:ascii="Cambria" w:eastAsia="Cambria" w:hAnsi="Cambria" w:cs="Cambria"/>
        </w:rPr>
        <w:t xml:space="preserve">, during the Opening of Bids held on </w:t>
      </w:r>
      <w:r>
        <w:rPr>
          <w:rFonts w:ascii="Cambria" w:eastAsia="Cambria" w:hAnsi="Cambria" w:cs="Cambria"/>
        </w:rPr>
        <w:t>08 November</w:t>
      </w:r>
      <w:r>
        <w:rPr>
          <w:rFonts w:ascii="Cambria" w:eastAsia="Cambria" w:hAnsi="Cambria" w:cs="Cambria"/>
        </w:rPr>
        <w:t xml:space="preserve"> 2017, the 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 xml:space="preserve"> participating bidders, having submitted the required eligibility documents, were found to be “eligible”,</w:t>
      </w:r>
      <w:r>
        <w:rPr>
          <w:rFonts w:ascii="Cambria" w:eastAsia="Cambria" w:hAnsi="Cambria" w:cs="Cambria"/>
        </w:rPr>
        <w:t xml:space="preserve"> thus, their financial proposals were opened which were likewise found to be complying, as shown in the Abstract of Bids (</w:t>
      </w:r>
      <w:r>
        <w:rPr>
          <w:rFonts w:ascii="Cambria" w:eastAsia="Cambria" w:hAnsi="Cambria" w:cs="Cambria"/>
          <w:i/>
          <w:sz w:val="20"/>
          <w:szCs w:val="20"/>
        </w:rPr>
        <w:t xml:space="preserve">hereto attached as </w:t>
      </w:r>
      <w:r>
        <w:rPr>
          <w:rFonts w:ascii="Cambria" w:eastAsia="Cambria" w:hAnsi="Cambria" w:cs="Cambria"/>
          <w:b/>
          <w:i/>
          <w:sz w:val="20"/>
          <w:szCs w:val="20"/>
        </w:rPr>
        <w:t>Annex “A”</w:t>
      </w:r>
      <w:r>
        <w:rPr>
          <w:rFonts w:ascii="Cambria" w:eastAsia="Cambria" w:hAnsi="Cambria" w:cs="Cambria"/>
          <w:i/>
          <w:sz w:val="20"/>
          <w:szCs w:val="20"/>
        </w:rPr>
        <w:t xml:space="preserve"> and made an integral part of this Resolution</w:t>
      </w:r>
      <w:r>
        <w:rPr>
          <w:rFonts w:ascii="Cambria" w:eastAsia="Cambria" w:hAnsi="Cambria" w:cs="Cambria"/>
          <w:sz w:val="20"/>
          <w:szCs w:val="20"/>
        </w:rPr>
        <w:t>)</w:t>
      </w:r>
      <w:r>
        <w:rPr>
          <w:rFonts w:ascii="Cambria" w:eastAsia="Cambria" w:hAnsi="Cambria" w:cs="Cambria"/>
        </w:rPr>
        <w:t>, with the list of the eligible bidder that submitted the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Single Calculated Bid for a specific lot, summarized and shown below:</w:t>
      </w:r>
    </w:p>
    <w:p w:rsidR="008D23B9" w:rsidRDefault="008D23B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:rsidR="00206F33" w:rsidRDefault="00206F33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tbl>
      <w:tblPr>
        <w:tblStyle w:val="a0"/>
        <w:tblW w:w="8364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387"/>
        <w:gridCol w:w="1446"/>
        <w:gridCol w:w="1531"/>
      </w:tblGrid>
      <w:tr w:rsidR="00206F33" w:rsidTr="00EA6FB3">
        <w:trPr>
          <w:trHeight w:val="28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3B9" w:rsidRDefault="008D23B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206F33" w:rsidRDefault="00FF1090" w:rsidP="00EA6FB3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Lot /ABC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8D23B9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 w:rsidRPr="00DA4A5E">
              <w:rPr>
                <w:rFonts w:ascii="Cambria" w:hAnsi="Cambria"/>
                <w:b/>
              </w:rPr>
              <w:t>Company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8D23B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8D23B9">
              <w:rPr>
                <w:rFonts w:ascii="Cambria" w:eastAsia="Cambria" w:hAnsi="Cambria" w:cs="Cambria"/>
                <w:b/>
              </w:rPr>
              <w:t>SCB</w:t>
            </w:r>
          </w:p>
          <w:p w:rsidR="00EA6FB3" w:rsidRPr="008D23B9" w:rsidRDefault="00EA6FB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</w:t>
            </w:r>
            <w:proofErr w:type="spellStart"/>
            <w:r>
              <w:rPr>
                <w:rFonts w:ascii="Cambria" w:eastAsia="Cambria" w:hAnsi="Cambria" w:cs="Cambria"/>
                <w:b/>
              </w:rPr>
              <w:t>Php</w:t>
            </w:r>
            <w:proofErr w:type="spellEnd"/>
            <w:r>
              <w:rPr>
                <w:rFonts w:ascii="Cambria" w:eastAsia="Cambria" w:hAnsi="Cambria" w:cs="Cambria"/>
                <w:b/>
              </w:rPr>
              <w:t>)</w:t>
            </w:r>
          </w:p>
        </w:tc>
      </w:tr>
      <w:tr w:rsidR="00206F33" w:rsidTr="00EA6FB3">
        <w:trPr>
          <w:trHeight w:val="676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 w:rsidP="008D23B9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Lot C </w:t>
            </w:r>
            <w:proofErr w:type="gramStart"/>
            <w:r>
              <w:rPr>
                <w:rFonts w:ascii="Cambria" w:eastAsia="Cambria" w:hAnsi="Cambria" w:cs="Cambria"/>
              </w:rPr>
              <w:t>-  1</w:t>
            </w:r>
            <w:proofErr w:type="gramEnd"/>
            <w:r>
              <w:rPr>
                <w:rFonts w:ascii="Cambria" w:eastAsia="Cambria" w:hAnsi="Cambria" w:cs="Cambria"/>
              </w:rPr>
              <w:t>. Projector</w:t>
            </w:r>
            <w:r w:rsidR="008D23B9">
              <w:rPr>
                <w:rFonts w:ascii="Cambria" w:eastAsia="Cambria" w:hAnsi="Cambria" w:cs="Cambria"/>
              </w:rPr>
              <w:t>, 5 units   (P350,000.00)</w:t>
            </w:r>
          </w:p>
          <w:p w:rsidR="00206F33" w:rsidRDefault="008D23B9" w:rsidP="008D23B9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</w:t>
            </w:r>
            <w:r w:rsidR="00FF1090">
              <w:rPr>
                <w:rFonts w:ascii="Cambria" w:eastAsia="Cambria" w:hAnsi="Cambria" w:cs="Cambria"/>
              </w:rPr>
              <w:t>2. Short Throw Projector</w:t>
            </w:r>
            <w:r>
              <w:rPr>
                <w:rFonts w:ascii="Cambria" w:eastAsia="Cambria" w:hAnsi="Cambria" w:cs="Cambria"/>
              </w:rPr>
              <w:t>, 1 unit  (P70,000.00)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8D23B9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AVLS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F33" w:rsidRDefault="00FF1090" w:rsidP="0054686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  <w:r w:rsidR="00546867">
              <w:rPr>
                <w:rFonts w:ascii="Cambria" w:eastAsia="Cambria" w:hAnsi="Cambria" w:cs="Cambria"/>
              </w:rPr>
              <w:t>12</w:t>
            </w:r>
            <w:r>
              <w:rPr>
                <w:rFonts w:ascii="Cambria" w:eastAsia="Cambria" w:hAnsi="Cambria" w:cs="Cambria"/>
              </w:rPr>
              <w:t>,</w:t>
            </w:r>
            <w:r w:rsidR="00546867"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</w:rPr>
              <w:t>00.00</w:t>
            </w:r>
          </w:p>
          <w:p w:rsidR="00546867" w:rsidRDefault="00546867" w:rsidP="0054686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61,950.00</w:t>
            </w:r>
          </w:p>
        </w:tc>
      </w:tr>
      <w:tr w:rsidR="008D23B9" w:rsidTr="00EA6FB3">
        <w:trPr>
          <w:trHeight w:val="416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3B9" w:rsidRDefault="008D23B9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Lot E </w:t>
            </w:r>
            <w:r w:rsidR="00EA6FB3"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Data Center UPS</w:t>
            </w:r>
            <w:r>
              <w:rPr>
                <w:rFonts w:ascii="Cambria" w:eastAsia="Cambria" w:hAnsi="Cambria" w:cs="Cambria"/>
              </w:rPr>
              <w:t>, 1 unit  (P900,000.00)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3B9" w:rsidRDefault="008D23B9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Powercraft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3B9" w:rsidRDefault="00EA6FB3" w:rsidP="00EA6FB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795</w:t>
            </w:r>
            <w:r w:rsidR="008D23B9"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</w:rPr>
              <w:t>68</w:t>
            </w:r>
            <w:r w:rsidR="008D23B9">
              <w:rPr>
                <w:rFonts w:ascii="Cambria" w:eastAsia="Cambria" w:hAnsi="Cambria" w:cs="Cambria"/>
              </w:rPr>
              <w:t>0.00</w:t>
            </w:r>
          </w:p>
        </w:tc>
      </w:tr>
    </w:tbl>
    <w:p w:rsidR="00206F33" w:rsidRDefault="00206F33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206F33" w:rsidRDefault="00FF1090">
      <w:pPr>
        <w:ind w:firstLine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WHEREAS</w:t>
      </w:r>
      <w:r>
        <w:rPr>
          <w:rFonts w:ascii="Cambria" w:eastAsia="Cambria" w:hAnsi="Cambria" w:cs="Cambria"/>
        </w:rPr>
        <w:t xml:space="preserve">, no bids were received for Lots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</w:rPr>
        <w:t xml:space="preserve">, and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</w:rPr>
        <w:t>;</w:t>
      </w:r>
    </w:p>
    <w:p w:rsidR="00206F33" w:rsidRDefault="00FF109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WHEREAS,</w:t>
      </w:r>
      <w:r>
        <w:rPr>
          <w:rFonts w:ascii="Cambria" w:eastAsia="Cambria" w:hAnsi="Cambria" w:cs="Cambria"/>
        </w:rPr>
        <w:t xml:space="preserve"> on </w:t>
      </w:r>
      <w:r>
        <w:rPr>
          <w:rFonts w:ascii="Cambria" w:eastAsia="Cambria" w:hAnsi="Cambria" w:cs="Cambria"/>
        </w:rPr>
        <w:t>17 November</w:t>
      </w:r>
      <w:r>
        <w:rPr>
          <w:rFonts w:ascii="Cambria" w:eastAsia="Cambria" w:hAnsi="Cambria" w:cs="Cambria"/>
        </w:rPr>
        <w:t xml:space="preserve"> 2017, the Technical Working Group (TWG) conducted post-qualification of the </w:t>
      </w:r>
      <w:r>
        <w:rPr>
          <w:rFonts w:ascii="Cambria" w:eastAsia="Cambria" w:hAnsi="Cambria" w:cs="Cambria"/>
        </w:rPr>
        <w:t>two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>) eligible bidders to determine whether they comply with and are responsive to the requirements and conditions specified in the Bidding Docu</w:t>
      </w:r>
      <w:r>
        <w:rPr>
          <w:rFonts w:ascii="Cambria" w:eastAsia="Cambria" w:hAnsi="Cambria" w:cs="Cambria"/>
        </w:rPr>
        <w:t>ments; and</w:t>
      </w:r>
      <w:r>
        <w:rPr>
          <w:rFonts w:ascii="Cambria" w:eastAsia="Cambria" w:hAnsi="Cambria" w:cs="Cambria"/>
          <w:color w:val="D9D9D9"/>
        </w:rPr>
        <w:t xml:space="preserve"> </w:t>
      </w:r>
      <w:r>
        <w:rPr>
          <w:rFonts w:ascii="Cambria" w:eastAsia="Cambria" w:hAnsi="Cambria" w:cs="Cambria"/>
        </w:rPr>
        <w:t xml:space="preserve">after careful examination, validation and verification of all the eligibility, legal, technical and financial documents submitted to the BAC-G, the TWG recommended </w:t>
      </w:r>
      <w:r w:rsidR="004C28B1">
        <w:rPr>
          <w:rFonts w:ascii="Cambria" w:eastAsia="Times New Roman" w:hAnsi="Cambria"/>
        </w:rPr>
        <w:t xml:space="preserve">in its </w:t>
      </w:r>
      <w:r w:rsidR="004C28B1" w:rsidRPr="00930D04">
        <w:rPr>
          <w:rFonts w:ascii="Cambria" w:eastAsia="Times New Roman" w:hAnsi="Cambria"/>
        </w:rPr>
        <w:t>Post</w:t>
      </w:r>
      <w:r w:rsidR="004C28B1">
        <w:rPr>
          <w:rFonts w:ascii="Cambria" w:eastAsia="Times New Roman" w:hAnsi="Cambria"/>
        </w:rPr>
        <w:t>-</w:t>
      </w:r>
      <w:r w:rsidR="004C28B1" w:rsidRPr="00930D04">
        <w:rPr>
          <w:rFonts w:ascii="Cambria" w:eastAsia="Times New Roman" w:hAnsi="Cambria"/>
        </w:rPr>
        <w:t xml:space="preserve">Qualification Report </w:t>
      </w:r>
      <w:r w:rsidR="004C28B1">
        <w:rPr>
          <w:rFonts w:ascii="Cambria" w:eastAsia="Times New Roman" w:hAnsi="Cambria"/>
        </w:rPr>
        <w:t>(</w:t>
      </w:r>
      <w:r w:rsidR="004C28B1" w:rsidRPr="00930D04">
        <w:rPr>
          <w:rFonts w:ascii="Cambria" w:eastAsia="Times New Roman" w:hAnsi="Cambria"/>
        </w:rPr>
        <w:t xml:space="preserve">hereto attached as </w:t>
      </w:r>
      <w:r w:rsidR="004C28B1" w:rsidRPr="00930D04">
        <w:rPr>
          <w:rFonts w:ascii="Cambria" w:eastAsia="Times New Roman" w:hAnsi="Cambria"/>
          <w:b/>
        </w:rPr>
        <w:t xml:space="preserve">Annex </w:t>
      </w:r>
      <w:r w:rsidR="004C28B1">
        <w:rPr>
          <w:rFonts w:ascii="Cambria" w:eastAsia="Times New Roman" w:hAnsi="Cambria"/>
          <w:b/>
        </w:rPr>
        <w:t>“</w:t>
      </w:r>
      <w:r w:rsidR="004C28B1">
        <w:rPr>
          <w:rFonts w:ascii="Cambria" w:eastAsia="Times New Roman" w:hAnsi="Cambria"/>
          <w:b/>
        </w:rPr>
        <w:t>B</w:t>
      </w:r>
      <w:r w:rsidR="004C28B1">
        <w:rPr>
          <w:rFonts w:ascii="Cambria" w:eastAsia="Times New Roman" w:hAnsi="Cambria"/>
          <w:b/>
        </w:rPr>
        <w:t>”</w:t>
      </w:r>
      <w:r w:rsidR="004C28B1" w:rsidRPr="00E07036">
        <w:rPr>
          <w:rFonts w:ascii="Cambria" w:eastAsia="Times New Roman" w:hAnsi="Cambria"/>
        </w:rPr>
        <w:t>)</w:t>
      </w:r>
      <w:r w:rsidR="004C28B1">
        <w:rPr>
          <w:rFonts w:ascii="Cambria" w:eastAsia="Times New Roman" w:hAnsi="Cambria"/>
        </w:rPr>
        <w:t xml:space="preserve"> </w:t>
      </w:r>
      <w:r>
        <w:rPr>
          <w:rFonts w:ascii="Cambria" w:eastAsia="Cambria" w:hAnsi="Cambria" w:cs="Cambria"/>
        </w:rPr>
        <w:t xml:space="preserve">to award </w:t>
      </w:r>
      <w:r w:rsidR="004C28B1"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</w:rPr>
        <w:t>ot</w:t>
      </w:r>
      <w:r w:rsidR="004C28B1"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 xml:space="preserve"> </w:t>
      </w:r>
      <w:r w:rsidR="00FD46A1">
        <w:rPr>
          <w:rFonts w:ascii="Cambria" w:eastAsia="Cambria" w:hAnsi="Cambria" w:cs="Cambria"/>
        </w:rPr>
        <w:t xml:space="preserve">and Lot E </w:t>
      </w:r>
      <w:r>
        <w:rPr>
          <w:rFonts w:ascii="Cambria" w:eastAsia="Cambria" w:hAnsi="Cambria" w:cs="Cambria"/>
        </w:rPr>
        <w:t xml:space="preserve">to </w:t>
      </w:r>
      <w:r w:rsidR="00FD46A1">
        <w:rPr>
          <w:rFonts w:ascii="Cambria" w:eastAsia="Cambria" w:hAnsi="Cambria" w:cs="Cambria"/>
        </w:rPr>
        <w:t xml:space="preserve">AVLS and </w:t>
      </w:r>
      <w:proofErr w:type="spellStart"/>
      <w:r w:rsidR="00FD46A1">
        <w:rPr>
          <w:rFonts w:ascii="Cambria" w:eastAsia="Cambria" w:hAnsi="Cambria" w:cs="Cambria"/>
        </w:rPr>
        <w:t>Powercraft</w:t>
      </w:r>
      <w:proofErr w:type="spellEnd"/>
      <w:r w:rsidR="00FD46A1">
        <w:rPr>
          <w:rFonts w:ascii="Cambria" w:eastAsia="Cambria" w:hAnsi="Cambria" w:cs="Cambria"/>
        </w:rPr>
        <w:t xml:space="preserve">, respectively, who were </w:t>
      </w:r>
      <w:r>
        <w:rPr>
          <w:rFonts w:ascii="Cambria" w:eastAsia="Cambria" w:hAnsi="Cambria" w:cs="Cambria"/>
        </w:rPr>
        <w:t>found Complying and Respon</w:t>
      </w:r>
      <w:r w:rsidR="00FD46A1">
        <w:rPr>
          <w:rFonts w:ascii="Cambria" w:eastAsia="Cambria" w:hAnsi="Cambria" w:cs="Cambria"/>
        </w:rPr>
        <w:t>sive;</w:t>
      </w:r>
    </w:p>
    <w:p w:rsidR="00206F33" w:rsidRDefault="00206F33" w:rsidP="00FD46A1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206F33" w:rsidRDefault="00FF109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WHEREAS</w:t>
      </w:r>
      <w:r>
        <w:rPr>
          <w:rFonts w:ascii="Cambria" w:eastAsia="Cambria" w:hAnsi="Cambria" w:cs="Cambria"/>
        </w:rPr>
        <w:t xml:space="preserve">, the BAC for Goods declared failure of bidding for </w:t>
      </w:r>
      <w:r>
        <w:rPr>
          <w:rFonts w:ascii="Cambria" w:eastAsia="Cambria" w:hAnsi="Cambria" w:cs="Cambria"/>
          <w:i/>
        </w:rPr>
        <w:t xml:space="preserve">Lots 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</w:rPr>
        <w:t xml:space="preserve">, and 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</w:rPr>
        <w:t xml:space="preserve"> pursuant to Section 35.1 of the Revised IRR of Republic Act No. 9184, to wit:</w:t>
      </w:r>
    </w:p>
    <w:p w:rsidR="00206F33" w:rsidRDefault="00206F33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:rsidR="00206F33" w:rsidRDefault="00FF1090">
      <w:pPr>
        <w:spacing w:after="0" w:line="240" w:lineRule="auto"/>
        <w:ind w:left="1440" w:firstLine="45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35.1   The BAC shall declare the bidding a failure when:</w:t>
      </w:r>
    </w:p>
    <w:p w:rsidR="00206F33" w:rsidRDefault="00FF1090">
      <w:pPr>
        <w:numPr>
          <w:ilvl w:val="0"/>
          <w:numId w:val="2"/>
        </w:numPr>
        <w:spacing w:after="0" w:line="240" w:lineRule="auto"/>
        <w:ind w:left="288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No bids are received;</w:t>
      </w:r>
    </w:p>
    <w:p w:rsidR="00206F33" w:rsidRDefault="00FF1090">
      <w:pPr>
        <w:numPr>
          <w:ilvl w:val="0"/>
          <w:numId w:val="2"/>
        </w:numPr>
        <w:spacing w:after="0" w:line="240" w:lineRule="auto"/>
        <w:ind w:left="2880"/>
        <w:contextualSpacing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i/>
        </w:rPr>
        <w:t>Xxxxxx</w:t>
      </w:r>
      <w:proofErr w:type="spellEnd"/>
      <w:r>
        <w:rPr>
          <w:rFonts w:ascii="Cambria" w:eastAsia="Cambria" w:hAnsi="Cambria" w:cs="Cambria"/>
          <w:i/>
        </w:rPr>
        <w:t xml:space="preserve"> </w:t>
      </w:r>
    </w:p>
    <w:p w:rsidR="00206F33" w:rsidRDefault="00206F33">
      <w:pPr>
        <w:spacing w:after="0" w:line="240" w:lineRule="auto"/>
        <w:ind w:left="2880"/>
        <w:jc w:val="both"/>
        <w:rPr>
          <w:rFonts w:ascii="Cambria" w:eastAsia="Cambria" w:hAnsi="Cambria" w:cs="Cambria"/>
        </w:rPr>
      </w:pPr>
    </w:p>
    <w:p w:rsidR="00206F33" w:rsidRDefault="00FF109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NOW, THEREFORE</w:t>
      </w:r>
      <w:r>
        <w:rPr>
          <w:rFonts w:ascii="Cambria" w:eastAsia="Cambria" w:hAnsi="Cambria" w:cs="Cambria"/>
        </w:rPr>
        <w:t xml:space="preserve">, We, the Members of the Bids and Awards Committee for Goods, hereby </w:t>
      </w:r>
      <w:r>
        <w:rPr>
          <w:rFonts w:ascii="Cambria" w:eastAsia="Cambria" w:hAnsi="Cambria" w:cs="Cambria"/>
          <w:b/>
        </w:rPr>
        <w:t>RESOLVE,</w:t>
      </w:r>
      <w:r>
        <w:rPr>
          <w:rFonts w:ascii="Cambria" w:eastAsia="Cambria" w:hAnsi="Cambria" w:cs="Cambria"/>
        </w:rPr>
        <w:t xml:space="preserve"> as it is hereby </w:t>
      </w:r>
      <w:r>
        <w:rPr>
          <w:rFonts w:ascii="Cambria" w:eastAsia="Cambria" w:hAnsi="Cambria" w:cs="Cambria"/>
          <w:b/>
        </w:rPr>
        <w:t xml:space="preserve">RESOLVED, </w:t>
      </w:r>
      <w:r>
        <w:rPr>
          <w:rFonts w:ascii="Cambria" w:eastAsia="Cambria" w:hAnsi="Cambria" w:cs="Cambria"/>
        </w:rPr>
        <w:t>to recommend the following:</w:t>
      </w:r>
    </w:p>
    <w:p w:rsidR="00206F33" w:rsidRDefault="00206F33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:rsidR="00206F33" w:rsidRDefault="00FF10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 declare each of the t</w:t>
      </w:r>
      <w:r>
        <w:rPr>
          <w:rFonts w:ascii="Cambria" w:eastAsia="Cambria" w:hAnsi="Cambria" w:cs="Cambria"/>
        </w:rPr>
        <w:t>wo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>) participati</w:t>
      </w:r>
      <w:r w:rsidR="00FD46A1">
        <w:rPr>
          <w:rFonts w:ascii="Cambria" w:eastAsia="Cambria" w:hAnsi="Cambria" w:cs="Cambria"/>
        </w:rPr>
        <w:t xml:space="preserve">ng bidders as having the </w:t>
      </w:r>
      <w:r>
        <w:rPr>
          <w:rFonts w:ascii="Cambria" w:eastAsia="Cambria" w:hAnsi="Cambria" w:cs="Cambria"/>
        </w:rPr>
        <w:t>Single Calcu</w:t>
      </w:r>
      <w:r w:rsidR="00FD46A1">
        <w:rPr>
          <w:rFonts w:ascii="Cambria" w:eastAsia="Cambria" w:hAnsi="Cambria" w:cs="Cambria"/>
        </w:rPr>
        <w:t>lated and Responsive Bids (</w:t>
      </w:r>
      <w:r>
        <w:rPr>
          <w:rFonts w:ascii="Cambria" w:eastAsia="Cambria" w:hAnsi="Cambria" w:cs="Cambria"/>
        </w:rPr>
        <w:t xml:space="preserve">SCRB) for the respective Lot/s in the </w:t>
      </w:r>
      <w:r>
        <w:rPr>
          <w:rFonts w:ascii="Cambria" w:eastAsia="Cambria" w:hAnsi="Cambria" w:cs="Cambria"/>
          <w:smallCaps/>
        </w:rPr>
        <w:t>PROCUREMENT AND DELIVERY OF I.T. EQU</w:t>
      </w:r>
      <w:r>
        <w:rPr>
          <w:rFonts w:ascii="Cambria" w:eastAsia="Cambria" w:hAnsi="Cambria" w:cs="Cambria"/>
          <w:smallCaps/>
        </w:rPr>
        <w:t>IPMENT AND SOFTWARE FOR 2017 (</w:t>
      </w:r>
      <w:r>
        <w:rPr>
          <w:rFonts w:ascii="Cambria" w:eastAsia="Cambria" w:hAnsi="Cambria" w:cs="Cambria"/>
          <w:smallCaps/>
        </w:rPr>
        <w:t>Rebidding)</w:t>
      </w:r>
      <w:r>
        <w:rPr>
          <w:rFonts w:ascii="Cambria" w:eastAsia="Cambria" w:hAnsi="Cambria" w:cs="Cambria"/>
          <w:smallCaps/>
        </w:rPr>
        <w:t xml:space="preserve">, </w:t>
      </w:r>
      <w:r>
        <w:rPr>
          <w:rFonts w:ascii="Cambria" w:eastAsia="Cambria" w:hAnsi="Cambria" w:cs="Cambria"/>
        </w:rPr>
        <w:t>to wit</w:t>
      </w:r>
      <w:r>
        <w:rPr>
          <w:rFonts w:ascii="Cambria" w:eastAsia="Cambria" w:hAnsi="Cambria" w:cs="Cambria"/>
          <w:smallCaps/>
        </w:rPr>
        <w:t>:</w:t>
      </w:r>
    </w:p>
    <w:p w:rsidR="00206F33" w:rsidRDefault="00206F33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tbl>
      <w:tblPr>
        <w:tblStyle w:val="a2"/>
        <w:tblW w:w="8231" w:type="dxa"/>
        <w:tblInd w:w="771" w:type="dxa"/>
        <w:tblLayout w:type="fixed"/>
        <w:tblLook w:val="0000" w:firstRow="0" w:lastRow="0" w:firstColumn="0" w:lastColumn="0" w:noHBand="0" w:noVBand="0"/>
      </w:tblPr>
      <w:tblGrid>
        <w:gridCol w:w="4176"/>
        <w:gridCol w:w="1989"/>
        <w:gridCol w:w="2066"/>
      </w:tblGrid>
      <w:tr w:rsidR="00FD46A1" w:rsidTr="006378CD">
        <w:trPr>
          <w:trHeight w:val="471"/>
        </w:trPr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 w:rsidP="00FD46A1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Lot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AVLS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Powercraft</w:t>
            </w:r>
            <w:proofErr w:type="spellEnd"/>
          </w:p>
        </w:tc>
      </w:tr>
      <w:tr w:rsidR="00FD46A1" w:rsidTr="004E5462">
        <w:trPr>
          <w:trHeight w:val="648"/>
        </w:trPr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 w:rsidP="00FD46A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Lot C </w:t>
            </w:r>
            <w:proofErr w:type="gramStart"/>
            <w:r>
              <w:rPr>
                <w:rFonts w:ascii="Cambria" w:eastAsia="Cambria" w:hAnsi="Cambria" w:cs="Cambria"/>
              </w:rPr>
              <w:t>-  1</w:t>
            </w:r>
            <w:proofErr w:type="gramEnd"/>
            <w:r>
              <w:rPr>
                <w:rFonts w:ascii="Cambria" w:eastAsia="Cambria" w:hAnsi="Cambria" w:cs="Cambria"/>
              </w:rPr>
              <w:t xml:space="preserve">.   Projector, 5 units   </w:t>
            </w:r>
          </w:p>
          <w:p w:rsidR="00FD46A1" w:rsidRDefault="00FD46A1" w:rsidP="00FD46A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2.   Short Throw Projector, 1 unit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 w:rsidP="00FD46A1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312,500.00</w:t>
            </w:r>
          </w:p>
          <w:p w:rsidR="00FD46A1" w:rsidRDefault="00FD46A1" w:rsidP="00FD46A1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</w:rPr>
              <w:t>61,950.00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 w:rsidP="00FD46A1">
            <w:pPr>
              <w:spacing w:after="0" w:line="240" w:lineRule="auto"/>
              <w:jc w:val="right"/>
              <w:rPr>
                <w:rFonts w:ascii="Cambria" w:eastAsia="Cambria" w:hAnsi="Cambria" w:cs="Cambria"/>
              </w:rPr>
            </w:pPr>
          </w:p>
        </w:tc>
      </w:tr>
      <w:tr w:rsidR="00FD46A1" w:rsidTr="004E5462">
        <w:trPr>
          <w:trHeight w:val="416"/>
        </w:trPr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 w:rsidP="00FD46A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Lot E – </w:t>
            </w:r>
            <w:r>
              <w:rPr>
                <w:rFonts w:ascii="Cambria" w:eastAsia="Cambria" w:hAnsi="Cambria" w:cs="Cambria"/>
              </w:rPr>
              <w:t>Data Center UPS</w:t>
            </w:r>
            <w:r>
              <w:rPr>
                <w:rFonts w:ascii="Cambria" w:eastAsia="Cambria" w:hAnsi="Cambria" w:cs="Cambria"/>
              </w:rPr>
              <w:t xml:space="preserve">, 1 unit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 w:rsidP="00FD46A1">
            <w:pPr>
              <w:spacing w:after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6A1" w:rsidRDefault="00FD46A1" w:rsidP="00FD46A1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795,680.00</w:t>
            </w:r>
          </w:p>
        </w:tc>
      </w:tr>
      <w:tr w:rsidR="00FD46A1" w:rsidTr="004E5462">
        <w:trPr>
          <w:trHeight w:val="395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A1" w:rsidRDefault="00FD46A1" w:rsidP="00FD46A1">
            <w:pPr>
              <w:spacing w:after="0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A1" w:rsidRPr="00FD46A1" w:rsidRDefault="00FD46A1" w:rsidP="004E5462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D46A1">
              <w:rPr>
                <w:rFonts w:ascii="Cambria" w:eastAsia="Cambria" w:hAnsi="Cambria" w:cs="Cambria"/>
                <w:b/>
              </w:rPr>
              <w:t>Php374,450.00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A1" w:rsidRPr="004E5462" w:rsidRDefault="004E5462" w:rsidP="004E546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Php795</w:t>
            </w:r>
            <w:r w:rsidR="00FD46A1" w:rsidRPr="004E5462">
              <w:rPr>
                <w:rFonts w:ascii="Cambria" w:eastAsia="Cambria" w:hAnsi="Cambria" w:cs="Cambria"/>
                <w:b/>
              </w:rPr>
              <w:t>,</w:t>
            </w:r>
            <w:r>
              <w:rPr>
                <w:rFonts w:ascii="Cambria" w:eastAsia="Cambria" w:hAnsi="Cambria" w:cs="Cambria"/>
                <w:b/>
              </w:rPr>
              <w:t>68</w:t>
            </w:r>
            <w:r w:rsidR="00FD46A1" w:rsidRPr="004E5462">
              <w:rPr>
                <w:rFonts w:ascii="Cambria" w:eastAsia="Cambria" w:hAnsi="Cambria" w:cs="Cambria"/>
                <w:b/>
              </w:rPr>
              <w:t>0.00</w:t>
            </w:r>
          </w:p>
        </w:tc>
      </w:tr>
    </w:tbl>
    <w:p w:rsidR="00206F33" w:rsidRDefault="00206F33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:rsidR="00206F33" w:rsidRDefault="00FF10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To award the Contract to </w:t>
      </w:r>
      <w:r w:rsidR="00C87417" w:rsidRPr="00C87417">
        <w:rPr>
          <w:rFonts w:ascii="Cambria" w:eastAsia="Cambria" w:hAnsi="Cambria" w:cs="Cambria"/>
          <w:b/>
        </w:rPr>
        <w:t>AVLS</w:t>
      </w:r>
      <w:r w:rsidR="00C87417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All Visual &amp;</w:t>
      </w:r>
      <w:r>
        <w:rPr>
          <w:rFonts w:ascii="Cambria" w:eastAsia="Cambria" w:hAnsi="Cambria" w:cs="Cambria"/>
          <w:b/>
        </w:rPr>
        <w:t xml:space="preserve"> Lights Systems Corp</w:t>
      </w:r>
      <w:r w:rsidR="00C87417">
        <w:rPr>
          <w:rFonts w:ascii="Cambria" w:eastAsia="Cambria" w:hAnsi="Cambria" w:cs="Cambria"/>
          <w:b/>
        </w:rPr>
        <w:t xml:space="preserve">. 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for </w:t>
      </w:r>
      <w:r w:rsidRPr="004E5462">
        <w:rPr>
          <w:rFonts w:ascii="Cambria" w:eastAsia="Cambria" w:hAnsi="Cambria" w:cs="Cambria"/>
          <w:b/>
          <w:i/>
        </w:rPr>
        <w:t>Lot C</w:t>
      </w:r>
      <w:r w:rsidRPr="004E5462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in the amount of </w:t>
      </w:r>
      <w:r>
        <w:rPr>
          <w:rFonts w:ascii="Cambria" w:eastAsia="Cambria" w:hAnsi="Cambria" w:cs="Cambria"/>
          <w:b/>
        </w:rPr>
        <w:t xml:space="preserve">Pesos: </w:t>
      </w:r>
      <w:r w:rsidR="004E5462">
        <w:rPr>
          <w:rFonts w:ascii="Cambria" w:eastAsia="Cambria" w:hAnsi="Cambria" w:cs="Cambria"/>
          <w:b/>
        </w:rPr>
        <w:t>Three</w:t>
      </w:r>
      <w:r>
        <w:rPr>
          <w:rFonts w:ascii="Cambria" w:eastAsia="Cambria" w:hAnsi="Cambria" w:cs="Cambria"/>
          <w:b/>
        </w:rPr>
        <w:t xml:space="preserve"> Hundred </w:t>
      </w:r>
      <w:r w:rsidR="004E5462">
        <w:rPr>
          <w:rFonts w:ascii="Cambria" w:eastAsia="Cambria" w:hAnsi="Cambria" w:cs="Cambria"/>
          <w:b/>
        </w:rPr>
        <w:t>Sev</w:t>
      </w:r>
      <w:r>
        <w:rPr>
          <w:rFonts w:ascii="Cambria" w:eastAsia="Cambria" w:hAnsi="Cambria" w:cs="Cambria"/>
          <w:b/>
        </w:rPr>
        <w:t xml:space="preserve">enty </w:t>
      </w:r>
      <w:r w:rsidR="004E5462">
        <w:rPr>
          <w:rFonts w:ascii="Cambria" w:eastAsia="Cambria" w:hAnsi="Cambria" w:cs="Cambria"/>
          <w:b/>
        </w:rPr>
        <w:t xml:space="preserve">Four </w:t>
      </w:r>
      <w:r>
        <w:rPr>
          <w:rFonts w:ascii="Cambria" w:eastAsia="Cambria" w:hAnsi="Cambria" w:cs="Cambria"/>
          <w:b/>
        </w:rPr>
        <w:t>Thousand</w:t>
      </w:r>
      <w:r w:rsidR="004E5462">
        <w:rPr>
          <w:rFonts w:ascii="Cambria" w:eastAsia="Cambria" w:hAnsi="Cambria" w:cs="Cambria"/>
          <w:b/>
        </w:rPr>
        <w:t xml:space="preserve"> Four Hundred Fifty </w:t>
      </w:r>
      <w:r>
        <w:rPr>
          <w:rFonts w:ascii="Cambria" w:eastAsia="Cambria" w:hAnsi="Cambria" w:cs="Cambria"/>
          <w:b/>
        </w:rPr>
        <w:t xml:space="preserve"> (Php</w:t>
      </w:r>
      <w:r w:rsidR="004E5462">
        <w:rPr>
          <w:rFonts w:ascii="Cambria" w:eastAsia="Cambria" w:hAnsi="Cambria" w:cs="Cambria"/>
          <w:b/>
        </w:rPr>
        <w:t>374</w:t>
      </w:r>
      <w:r>
        <w:rPr>
          <w:rFonts w:ascii="Cambria" w:eastAsia="Cambria" w:hAnsi="Cambria" w:cs="Cambria"/>
          <w:b/>
        </w:rPr>
        <w:t>,</w:t>
      </w:r>
      <w:r w:rsidR="004E5462">
        <w:rPr>
          <w:rFonts w:ascii="Cambria" w:eastAsia="Cambria" w:hAnsi="Cambria" w:cs="Cambria"/>
          <w:b/>
        </w:rPr>
        <w:t>450</w:t>
      </w:r>
      <w:r>
        <w:rPr>
          <w:rFonts w:ascii="Cambria" w:eastAsia="Cambria" w:hAnsi="Cambria" w:cs="Cambria"/>
          <w:b/>
        </w:rPr>
        <w:t>.00)</w:t>
      </w:r>
      <w:r>
        <w:rPr>
          <w:rFonts w:ascii="Cambria" w:eastAsia="Cambria" w:hAnsi="Cambria" w:cs="Cambria"/>
        </w:rPr>
        <w:t>; and</w:t>
      </w:r>
      <w:r w:rsidR="004E5462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</w:t>
      </w:r>
      <w:r w:rsidR="004E5462"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Powercraft</w:t>
      </w:r>
      <w:proofErr w:type="spellEnd"/>
      <w:r>
        <w:rPr>
          <w:rFonts w:ascii="Cambria" w:eastAsia="Cambria" w:hAnsi="Cambria" w:cs="Cambria"/>
          <w:b/>
        </w:rPr>
        <w:t xml:space="preserve"> Solutions &amp; Data Infrastructure, Inc. </w:t>
      </w:r>
      <w:r>
        <w:rPr>
          <w:rFonts w:ascii="Cambria" w:eastAsia="Cambria" w:hAnsi="Cambria" w:cs="Cambria"/>
        </w:rPr>
        <w:t xml:space="preserve">for </w:t>
      </w:r>
      <w:r w:rsidRPr="004E5462">
        <w:rPr>
          <w:rFonts w:ascii="Cambria" w:eastAsia="Cambria" w:hAnsi="Cambria" w:cs="Cambria"/>
          <w:b/>
          <w:i/>
        </w:rPr>
        <w:t>Lot E</w:t>
      </w:r>
      <w:r>
        <w:rPr>
          <w:rFonts w:ascii="Cambria" w:eastAsia="Cambria" w:hAnsi="Cambria" w:cs="Cambria"/>
        </w:rPr>
        <w:t xml:space="preserve"> in the amount of </w:t>
      </w:r>
      <w:r>
        <w:rPr>
          <w:rFonts w:ascii="Cambria" w:eastAsia="Cambria" w:hAnsi="Cambria" w:cs="Cambria"/>
          <w:b/>
        </w:rPr>
        <w:t xml:space="preserve">Pesos: </w:t>
      </w:r>
      <w:r w:rsidR="004E5462">
        <w:rPr>
          <w:rFonts w:ascii="Cambria" w:eastAsia="Cambria" w:hAnsi="Cambria" w:cs="Cambria"/>
          <w:b/>
        </w:rPr>
        <w:t xml:space="preserve">Seven Hundred </w:t>
      </w:r>
      <w:r>
        <w:rPr>
          <w:rFonts w:ascii="Cambria" w:eastAsia="Cambria" w:hAnsi="Cambria" w:cs="Cambria"/>
          <w:b/>
        </w:rPr>
        <w:t>Nine</w:t>
      </w:r>
      <w:r w:rsidR="004E5462">
        <w:rPr>
          <w:rFonts w:ascii="Cambria" w:eastAsia="Cambria" w:hAnsi="Cambria" w:cs="Cambria"/>
          <w:b/>
        </w:rPr>
        <w:t>ty Five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Thousand</w:t>
      </w:r>
      <w:r w:rsidR="004E5462">
        <w:rPr>
          <w:rFonts w:ascii="Cambria" w:eastAsia="Cambria" w:hAnsi="Cambria" w:cs="Cambria"/>
          <w:b/>
        </w:rPr>
        <w:t xml:space="preserve"> Six Hundred Eighty </w:t>
      </w:r>
      <w:r>
        <w:rPr>
          <w:rFonts w:ascii="Cambria" w:eastAsia="Cambria" w:hAnsi="Cambria" w:cs="Cambria"/>
          <w:b/>
        </w:rPr>
        <w:t xml:space="preserve"> (Php</w:t>
      </w:r>
      <w:r w:rsidR="004E5462">
        <w:rPr>
          <w:rFonts w:ascii="Cambria" w:eastAsia="Cambria" w:hAnsi="Cambria" w:cs="Cambria"/>
          <w:b/>
        </w:rPr>
        <w:t>795</w:t>
      </w:r>
      <w:r>
        <w:rPr>
          <w:rFonts w:ascii="Cambria" w:eastAsia="Cambria" w:hAnsi="Cambria" w:cs="Cambria"/>
          <w:b/>
        </w:rPr>
        <w:t>,</w:t>
      </w:r>
      <w:r w:rsidR="004E5462">
        <w:rPr>
          <w:rFonts w:ascii="Cambria" w:eastAsia="Cambria" w:hAnsi="Cambria" w:cs="Cambria"/>
          <w:b/>
        </w:rPr>
        <w:t>68</w:t>
      </w:r>
      <w:r>
        <w:rPr>
          <w:rFonts w:ascii="Cambria" w:eastAsia="Cambria" w:hAnsi="Cambria" w:cs="Cambria"/>
          <w:b/>
        </w:rPr>
        <w:t>0.00)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</w:rPr>
        <w:t xml:space="preserve"> with each and every</w:t>
      </w:r>
      <w:r>
        <w:rPr>
          <w:rFonts w:ascii="Cambria" w:eastAsia="Cambria" w:hAnsi="Cambria" w:cs="Cambria"/>
        </w:rPr>
        <w:t xml:space="preserve"> contract amount  inclusive of all applicable taxes and fees;</w:t>
      </w:r>
    </w:p>
    <w:p w:rsidR="00206F33" w:rsidRDefault="00206F33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206F33" w:rsidRDefault="00FF10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 issue the corresponding Notice of Award to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each of the </w:t>
      </w:r>
      <w:r>
        <w:rPr>
          <w:rFonts w:ascii="Cambria" w:eastAsia="Cambria" w:hAnsi="Cambria" w:cs="Cambria"/>
        </w:rPr>
        <w:t>two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aforecited</w:t>
      </w:r>
      <w:proofErr w:type="spellEnd"/>
      <w:r>
        <w:rPr>
          <w:rFonts w:ascii="Cambria" w:eastAsia="Cambria" w:hAnsi="Cambria" w:cs="Cambria"/>
        </w:rPr>
        <w:t xml:space="preserve"> companies, namely:</w:t>
      </w:r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</w:rPr>
        <w:t>1)</w:t>
      </w:r>
      <w:r>
        <w:rPr>
          <w:rFonts w:ascii="Cambria" w:eastAsia="Cambria" w:hAnsi="Cambria" w:cs="Cambria"/>
          <w:b/>
        </w:rPr>
        <w:t xml:space="preserve"> </w:t>
      </w:r>
      <w:r w:rsidR="00C87417">
        <w:rPr>
          <w:rFonts w:ascii="Cambria" w:eastAsia="Cambria" w:hAnsi="Cambria" w:cs="Cambria"/>
          <w:b/>
        </w:rPr>
        <w:t xml:space="preserve">AVLS </w:t>
      </w:r>
      <w:r>
        <w:rPr>
          <w:rFonts w:ascii="Cambria" w:eastAsia="Cambria" w:hAnsi="Cambria" w:cs="Cambria"/>
          <w:b/>
        </w:rPr>
        <w:t>All Visual &amp; Lights Systems Corp</w:t>
      </w:r>
      <w:r w:rsidR="00C87417"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</w:rPr>
        <w:t>; and</w:t>
      </w:r>
      <w:r w:rsidR="00C87417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 xml:space="preserve">) </w:t>
      </w:r>
      <w:proofErr w:type="spellStart"/>
      <w:r>
        <w:rPr>
          <w:rFonts w:ascii="Cambria" w:eastAsia="Cambria" w:hAnsi="Cambria" w:cs="Cambria"/>
          <w:b/>
        </w:rPr>
        <w:t>Powercraft</w:t>
      </w:r>
      <w:proofErr w:type="spellEnd"/>
      <w:r>
        <w:rPr>
          <w:rFonts w:ascii="Cambria" w:eastAsia="Cambria" w:hAnsi="Cambria" w:cs="Cambria"/>
          <w:b/>
        </w:rPr>
        <w:t xml:space="preserve"> Solutions &amp; Data Infrastructure, Inc.</w:t>
      </w:r>
      <w:r w:rsidR="004E5462"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</w:rPr>
        <w:t xml:space="preserve"> </w:t>
      </w:r>
    </w:p>
    <w:p w:rsidR="00206F33" w:rsidRDefault="00206F33">
      <w:pPr>
        <w:spacing w:after="0"/>
        <w:ind w:left="720"/>
        <w:rPr>
          <w:rFonts w:ascii="Cambria" w:eastAsia="Cambria" w:hAnsi="Cambria" w:cs="Cambria"/>
        </w:rPr>
      </w:pPr>
    </w:p>
    <w:p w:rsidR="00206F33" w:rsidRDefault="00FF10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To  confirm the BAC-G’s declaration of second failure of bidding for Lots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</w:rPr>
        <w:t xml:space="preserve">, and </w:t>
      </w:r>
      <w:r w:rsidR="004E5462">
        <w:rPr>
          <w:rFonts w:ascii="Cambria" w:eastAsia="Cambria" w:hAnsi="Cambria" w:cs="Cambria"/>
        </w:rPr>
        <w:t>D</w:t>
      </w:r>
      <w:r w:rsidR="00A86C66">
        <w:rPr>
          <w:rFonts w:ascii="Cambria" w:eastAsia="Cambria" w:hAnsi="Cambria" w:cs="Cambria"/>
        </w:rPr>
        <w:t>, to wit:</w:t>
      </w:r>
    </w:p>
    <w:tbl>
      <w:tblPr>
        <w:tblStyle w:val="a"/>
        <w:tblW w:w="6709" w:type="dxa"/>
        <w:tblInd w:w="1630" w:type="dxa"/>
        <w:tblLayout w:type="fixed"/>
        <w:tblLook w:val="0000" w:firstRow="0" w:lastRow="0" w:firstColumn="0" w:lastColumn="0" w:noHBand="0" w:noVBand="0"/>
      </w:tblPr>
      <w:tblGrid>
        <w:gridCol w:w="759"/>
        <w:gridCol w:w="3126"/>
        <w:gridCol w:w="849"/>
        <w:gridCol w:w="1975"/>
      </w:tblGrid>
      <w:tr w:rsidR="00E9423E" w:rsidTr="00C87417">
        <w:trPr>
          <w:trHeight w:val="28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Lot</w:t>
            </w:r>
          </w:p>
        </w:tc>
        <w:tc>
          <w:tcPr>
            <w:tcW w:w="3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Description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Qty.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Total</w:t>
            </w:r>
          </w:p>
        </w:tc>
      </w:tr>
      <w:tr w:rsidR="00E9423E" w:rsidTr="00C87417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Barcode Printer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C87417" w:rsidP="00C8741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</w:t>
            </w:r>
            <w:bookmarkStart w:id="0" w:name="_GoBack"/>
            <w:bookmarkEnd w:id="0"/>
            <w:r w:rsidR="00E9423E">
              <w:rPr>
                <w:rFonts w:ascii="Cambria" w:eastAsia="Cambria" w:hAnsi="Cambria" w:cs="Cambria"/>
              </w:rPr>
              <w:t>60,000.00</w:t>
            </w:r>
          </w:p>
        </w:tc>
      </w:tr>
      <w:tr w:rsidR="00E9423E" w:rsidTr="00C87417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Barcode Scanner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C8741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140,000.00</w:t>
            </w:r>
          </w:p>
        </w:tc>
      </w:tr>
      <w:tr w:rsidR="00E9423E" w:rsidTr="00C87417">
        <w:trPr>
          <w:trHeight w:val="28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Wireless LAN Access Point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4004C8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423E" w:rsidRDefault="00E9423E" w:rsidP="00C8741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220,000.00</w:t>
            </w:r>
          </w:p>
        </w:tc>
      </w:tr>
      <w:tr w:rsidR="00C87417" w:rsidTr="00C87417">
        <w:trPr>
          <w:trHeight w:val="280"/>
        </w:trPr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417" w:rsidRPr="00A86C66" w:rsidRDefault="00C87417" w:rsidP="00C87417">
            <w:pPr>
              <w:spacing w:after="0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417" w:rsidRPr="00A86C66" w:rsidRDefault="00C87417" w:rsidP="00A86C66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00A86C66">
              <w:rPr>
                <w:rFonts w:ascii="Cambria" w:eastAsia="Cambria" w:hAnsi="Cambria" w:cs="Cambria"/>
                <w:b/>
              </w:rPr>
              <w:t>PhP</w:t>
            </w:r>
            <w:r w:rsidRPr="00A86C66">
              <w:rPr>
                <w:rFonts w:ascii="Cambria" w:eastAsia="Cambria" w:hAnsi="Cambria" w:cs="Cambria"/>
                <w:b/>
              </w:rPr>
              <w:t>42</w:t>
            </w:r>
            <w:r w:rsidRPr="00A86C66">
              <w:rPr>
                <w:rFonts w:ascii="Cambria" w:eastAsia="Cambria" w:hAnsi="Cambria" w:cs="Cambria"/>
                <w:b/>
              </w:rPr>
              <w:t>0,000.00</w:t>
            </w:r>
          </w:p>
        </w:tc>
      </w:tr>
    </w:tbl>
    <w:p w:rsidR="00206F33" w:rsidRDefault="00206F33">
      <w:pPr>
        <w:spacing w:after="0"/>
        <w:ind w:left="720"/>
        <w:rPr>
          <w:rFonts w:ascii="Cambria" w:eastAsia="Cambria" w:hAnsi="Cambria" w:cs="Cambria"/>
        </w:rPr>
      </w:pPr>
    </w:p>
    <w:p w:rsidR="00206F33" w:rsidRDefault="00FF10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</w:rPr>
        <w:t xml:space="preserve">delegate the procurement of Lots A, B, and </w:t>
      </w:r>
      <w:r w:rsidR="004E5462"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</w:rPr>
        <w:t xml:space="preserve"> to the Procurement and Property Management Department (PPMD) through Small Value Procurement.</w:t>
      </w:r>
    </w:p>
    <w:p w:rsidR="00206F33" w:rsidRPr="00A86C66" w:rsidRDefault="00206F33">
      <w:pPr>
        <w:spacing w:after="0" w:line="240" w:lineRule="auto"/>
        <w:ind w:left="720"/>
        <w:jc w:val="both"/>
        <w:rPr>
          <w:rFonts w:ascii="Cambria" w:eastAsia="Cambria" w:hAnsi="Cambria" w:cs="Cambria"/>
          <w:sz w:val="16"/>
        </w:rPr>
      </w:pPr>
    </w:p>
    <w:p w:rsidR="00206F33" w:rsidRPr="00A86C66" w:rsidRDefault="00206F33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06F33" w:rsidRDefault="00FF1090" w:rsidP="004E5462">
      <w:pPr>
        <w:spacing w:after="0" w:line="240" w:lineRule="auto"/>
        <w:ind w:firstLine="360"/>
        <w:rPr>
          <w:rFonts w:ascii="Cambria" w:eastAsia="Cambria" w:hAnsi="Cambria" w:cs="Cambria"/>
        </w:rPr>
      </w:pPr>
      <w:r w:rsidRPr="004E5462">
        <w:rPr>
          <w:rFonts w:ascii="Cambria" w:eastAsia="Cambria" w:hAnsi="Cambria" w:cs="Cambria"/>
          <w:b/>
        </w:rPr>
        <w:t>RESOLVED</w:t>
      </w:r>
      <w:r>
        <w:rPr>
          <w:rFonts w:ascii="Cambria" w:eastAsia="Cambria" w:hAnsi="Cambria" w:cs="Cambria"/>
        </w:rPr>
        <w:t xml:space="preserve">, at the BCDA Corporate Center, this </w:t>
      </w:r>
      <w:r w:rsidR="004E5462">
        <w:rPr>
          <w:rFonts w:ascii="Cambria" w:eastAsia="Cambria" w:hAnsi="Cambria" w:cs="Cambria"/>
        </w:rPr>
        <w:t>24</w:t>
      </w:r>
      <w:r w:rsidR="004E5462" w:rsidRPr="004E5462"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day of </w:t>
      </w:r>
      <w:r>
        <w:rPr>
          <w:rFonts w:ascii="Cambria" w:eastAsia="Cambria" w:hAnsi="Cambria" w:cs="Cambria"/>
        </w:rPr>
        <w:t>November</w:t>
      </w:r>
      <w:r>
        <w:rPr>
          <w:rFonts w:ascii="Cambria" w:eastAsia="Cambria" w:hAnsi="Cambria" w:cs="Cambria"/>
        </w:rPr>
        <w:t xml:space="preserve"> 2017.</w:t>
      </w:r>
    </w:p>
    <w:p w:rsidR="00206F33" w:rsidRPr="00A86C66" w:rsidRDefault="00206F33">
      <w:pPr>
        <w:spacing w:after="0" w:line="240" w:lineRule="auto"/>
        <w:ind w:left="360"/>
        <w:jc w:val="both"/>
        <w:rPr>
          <w:rFonts w:ascii="Cambria" w:eastAsia="Cambria" w:hAnsi="Cambria" w:cs="Cambria"/>
          <w:sz w:val="16"/>
        </w:rPr>
      </w:pPr>
    </w:p>
    <w:p w:rsidR="00206F33" w:rsidRPr="00A86C66" w:rsidRDefault="00206F33">
      <w:pPr>
        <w:spacing w:after="0" w:line="240" w:lineRule="auto"/>
        <w:jc w:val="center"/>
        <w:rPr>
          <w:rFonts w:ascii="Cambria" w:eastAsia="Cambria" w:hAnsi="Cambria" w:cs="Cambria"/>
          <w:sz w:val="16"/>
        </w:rPr>
      </w:pPr>
    </w:p>
    <w:p w:rsidR="00206F33" w:rsidRDefault="00FF1090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BIDS AND AWARDS COMMITTEE (BAC) FOR GOODS</w:t>
      </w:r>
    </w:p>
    <w:p w:rsidR="00206F33" w:rsidRPr="00A86C66" w:rsidRDefault="00206F33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206F33" w:rsidRPr="00A86C66" w:rsidRDefault="00206F33">
      <w:pPr>
        <w:spacing w:after="0" w:line="240" w:lineRule="auto"/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:rsidR="00206F33" w:rsidRDefault="00FF1090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AILEEN ANUNCIACION R. ZOSA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06F33" w:rsidRDefault="00FF1090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Chairperson</w:t>
      </w:r>
    </w:p>
    <w:p w:rsidR="00206F33" w:rsidRDefault="00206F33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206F33" w:rsidRDefault="00FF1090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BLAISE MARIE E. ALARAS-MALABANAN</w:t>
      </w:r>
    </w:p>
    <w:p w:rsidR="00206F33" w:rsidRDefault="00FF109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Vice Chairperson</w:t>
      </w:r>
    </w:p>
    <w:tbl>
      <w:tblPr>
        <w:tblStyle w:val="a3"/>
        <w:tblW w:w="10008" w:type="dxa"/>
        <w:tblLayout w:type="fixed"/>
        <w:tblLook w:val="0000" w:firstRow="0" w:lastRow="0" w:firstColumn="0" w:lastColumn="0" w:noHBand="0" w:noVBand="0"/>
      </w:tblPr>
      <w:tblGrid>
        <w:gridCol w:w="4499"/>
        <w:gridCol w:w="5509"/>
      </w:tblGrid>
      <w:tr w:rsidR="00206F33">
        <w:tc>
          <w:tcPr>
            <w:tcW w:w="4499" w:type="dxa"/>
          </w:tcPr>
          <w:p w:rsidR="00206F33" w:rsidRDefault="00206F33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NANCY V. PAJE</w:t>
            </w:r>
          </w:p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Member</w:t>
            </w:r>
          </w:p>
        </w:tc>
        <w:tc>
          <w:tcPr>
            <w:tcW w:w="5509" w:type="dxa"/>
          </w:tcPr>
          <w:p w:rsidR="00206F33" w:rsidRDefault="00206F33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06F33" w:rsidRDefault="00FF10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NORMA S. PABUSTAN</w:t>
            </w:r>
          </w:p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Membe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</w:p>
        </w:tc>
      </w:tr>
      <w:tr w:rsidR="00206F33">
        <w:trPr>
          <w:trHeight w:val="260"/>
        </w:trPr>
        <w:tc>
          <w:tcPr>
            <w:tcW w:w="4499" w:type="dxa"/>
          </w:tcPr>
          <w:p w:rsidR="00206F33" w:rsidRDefault="00206F33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509" w:type="dxa"/>
          </w:tcPr>
          <w:p w:rsidR="00206F33" w:rsidRDefault="00206F33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206F33" w:rsidRDefault="00206F33">
      <w:pPr>
        <w:spacing w:after="0"/>
      </w:pPr>
    </w:p>
    <w:tbl>
      <w:tblPr>
        <w:tblStyle w:val="a4"/>
        <w:tblW w:w="8998" w:type="dxa"/>
        <w:tblLayout w:type="fixed"/>
        <w:tblLook w:val="0000" w:firstRow="0" w:lastRow="0" w:firstColumn="0" w:lastColumn="0" w:noHBand="0" w:noVBand="0"/>
      </w:tblPr>
      <w:tblGrid>
        <w:gridCol w:w="4499"/>
        <w:gridCol w:w="4499"/>
      </w:tblGrid>
      <w:tr w:rsidR="00206F33">
        <w:trPr>
          <w:trHeight w:val="140"/>
        </w:trPr>
        <w:tc>
          <w:tcPr>
            <w:tcW w:w="4499" w:type="dxa"/>
          </w:tcPr>
          <w:p w:rsidR="00206F33" w:rsidRDefault="00FF1090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          </w:t>
            </w:r>
            <w:r>
              <w:rPr>
                <w:rFonts w:ascii="Cambria" w:eastAsia="Cambria" w:hAnsi="Cambria" w:cs="Cambria"/>
                <w:b/>
              </w:rPr>
              <w:t>EDUARDO G. POLICARPIO</w:t>
            </w:r>
          </w:p>
        </w:tc>
        <w:tc>
          <w:tcPr>
            <w:tcW w:w="4499" w:type="dxa"/>
          </w:tcPr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VIRGIL M. ALVAREZ </w:t>
            </w:r>
          </w:p>
        </w:tc>
      </w:tr>
      <w:tr w:rsidR="00206F33">
        <w:tc>
          <w:tcPr>
            <w:tcW w:w="4499" w:type="dxa"/>
          </w:tcPr>
          <w:p w:rsidR="00206F33" w:rsidRDefault="00FF1090">
            <w:pPr>
              <w:spacing w:after="0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Member</w:t>
            </w:r>
          </w:p>
        </w:tc>
        <w:tc>
          <w:tcPr>
            <w:tcW w:w="4499" w:type="dxa"/>
          </w:tcPr>
          <w:p w:rsidR="00206F33" w:rsidRDefault="00FF1090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Provisional Member</w:t>
            </w:r>
          </w:p>
        </w:tc>
      </w:tr>
    </w:tbl>
    <w:p w:rsidR="00206F33" w:rsidRDefault="00206F33">
      <w:pPr>
        <w:spacing w:after="0" w:line="240" w:lineRule="auto"/>
        <w:ind w:left="360"/>
        <w:jc w:val="center"/>
        <w:rPr>
          <w:rFonts w:ascii="Cambria" w:eastAsia="Cambria" w:hAnsi="Cambria" w:cs="Cambria"/>
          <w:sz w:val="24"/>
          <w:szCs w:val="24"/>
        </w:rPr>
      </w:pPr>
    </w:p>
    <w:p w:rsidR="00206F33" w:rsidRDefault="00FF1090">
      <w:pPr>
        <w:spacing w:after="0" w:line="240" w:lineRule="auto"/>
        <w:ind w:left="36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Approved by:</w:t>
      </w:r>
    </w:p>
    <w:p w:rsidR="00206F33" w:rsidRDefault="00206F33">
      <w:pPr>
        <w:spacing w:after="0" w:line="240" w:lineRule="auto"/>
        <w:ind w:left="360"/>
        <w:jc w:val="center"/>
        <w:rPr>
          <w:rFonts w:ascii="Cambria" w:eastAsia="Cambria" w:hAnsi="Cambria" w:cs="Cambria"/>
          <w:sz w:val="24"/>
          <w:szCs w:val="24"/>
        </w:rPr>
      </w:pPr>
    </w:p>
    <w:p w:rsidR="00206F33" w:rsidRDefault="00206F33">
      <w:pPr>
        <w:spacing w:after="0" w:line="240" w:lineRule="auto"/>
        <w:ind w:left="360"/>
        <w:jc w:val="center"/>
        <w:rPr>
          <w:rFonts w:ascii="Cambria" w:eastAsia="Cambria" w:hAnsi="Cambria" w:cs="Cambria"/>
          <w:sz w:val="24"/>
          <w:szCs w:val="24"/>
        </w:rPr>
      </w:pPr>
    </w:p>
    <w:p w:rsidR="004E5462" w:rsidRDefault="004E5462">
      <w:pPr>
        <w:spacing w:after="0" w:line="240" w:lineRule="auto"/>
        <w:ind w:left="360"/>
        <w:jc w:val="center"/>
        <w:rPr>
          <w:rFonts w:ascii="Cambria" w:eastAsia="Cambria" w:hAnsi="Cambria" w:cs="Cambria"/>
          <w:sz w:val="24"/>
          <w:szCs w:val="24"/>
        </w:rPr>
      </w:pPr>
    </w:p>
    <w:p w:rsidR="00206F33" w:rsidRDefault="00FF1090">
      <w:pPr>
        <w:spacing w:after="0" w:line="240" w:lineRule="auto"/>
        <w:ind w:left="36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VIVENCIO B. DIZON</w:t>
      </w:r>
    </w:p>
    <w:p w:rsidR="00206F33" w:rsidRDefault="00FF1090">
      <w:pPr>
        <w:spacing w:after="0" w:line="240" w:lineRule="auto"/>
        <w:ind w:left="36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President and CEO</w:t>
      </w:r>
    </w:p>
    <w:sectPr w:rsidR="00206F33">
      <w:footerReference w:type="default" r:id="rId7"/>
      <w:pgSz w:w="11909" w:h="16834"/>
      <w:pgMar w:top="1985" w:right="1440" w:bottom="1871" w:left="1440" w:header="72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90" w:rsidRDefault="00FF1090">
      <w:pPr>
        <w:spacing w:after="0" w:line="240" w:lineRule="auto"/>
      </w:pPr>
      <w:r>
        <w:separator/>
      </w:r>
    </w:p>
  </w:endnote>
  <w:endnote w:type="continuationSeparator" w:id="0">
    <w:p w:rsidR="00FF1090" w:rsidRDefault="00FF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33" w:rsidRDefault="00FF1090">
    <w:pPr>
      <w:tabs>
        <w:tab w:val="center" w:pos="4680"/>
        <w:tab w:val="right" w:pos="9360"/>
      </w:tabs>
      <w:spacing w:after="0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>BACG Resolution No. BG2017 – 0</w:t>
    </w:r>
    <w:r w:rsidR="00E87975">
      <w:rPr>
        <w:rFonts w:ascii="Times New Roman" w:eastAsia="Times New Roman" w:hAnsi="Times New Roman" w:cs="Times New Roman"/>
        <w:i/>
        <w:sz w:val="16"/>
        <w:szCs w:val="16"/>
      </w:rPr>
      <w:t>40</w:t>
    </w:r>
    <w:r>
      <w:rPr>
        <w:rFonts w:ascii="Times New Roman" w:eastAsia="Times New Roman" w:hAnsi="Times New Roman" w:cs="Times New Roman"/>
        <w:i/>
        <w:sz w:val="16"/>
        <w:szCs w:val="16"/>
      </w:rPr>
      <w:t xml:space="preserve">_I.T. Equipment &amp; Software 2017                                                                                           </w:t>
    </w:r>
    <w:r>
      <w:rPr>
        <w:rFonts w:ascii="Times New Roman" w:eastAsia="Times New Roman" w:hAnsi="Times New Roman" w:cs="Times New Roman"/>
        <w:i/>
        <w:sz w:val="16"/>
        <w:szCs w:val="16"/>
      </w:rPr>
      <w:t xml:space="preserve">   Page 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sz w:val="16"/>
        <w:szCs w:val="16"/>
      </w:rPr>
      <w:instrText>PAGE</w:instrText>
    </w:r>
    <w:r w:rsidR="008D23B9">
      <w:rPr>
        <w:rFonts w:ascii="Times New Roman" w:eastAsia="Times New Roman" w:hAnsi="Times New Roman" w:cs="Times New Roman"/>
        <w:i/>
        <w:sz w:val="16"/>
        <w:szCs w:val="16"/>
      </w:rPr>
      <w:fldChar w:fldCharType="separate"/>
    </w:r>
    <w:r w:rsidR="00E87975">
      <w:rPr>
        <w:rFonts w:ascii="Times New Roman" w:eastAsia="Times New Roman" w:hAnsi="Times New Roman" w:cs="Times New Roman"/>
        <w:i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sz w:val="16"/>
        <w:szCs w:val="16"/>
      </w:rPr>
      <w:instrText>NUMPAGES</w:instrText>
    </w:r>
    <w:r w:rsidR="008D23B9">
      <w:rPr>
        <w:rFonts w:ascii="Times New Roman" w:eastAsia="Times New Roman" w:hAnsi="Times New Roman" w:cs="Times New Roman"/>
        <w:i/>
        <w:sz w:val="16"/>
        <w:szCs w:val="16"/>
      </w:rPr>
      <w:fldChar w:fldCharType="separate"/>
    </w:r>
    <w:r w:rsidR="00E87975">
      <w:rPr>
        <w:rFonts w:ascii="Times New Roman" w:eastAsia="Times New Roman" w:hAnsi="Times New Roman" w:cs="Times New Roman"/>
        <w:i/>
        <w:noProof/>
        <w:sz w:val="16"/>
        <w:szCs w:val="16"/>
      </w:rPr>
      <w:t>3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end"/>
    </w:r>
  </w:p>
  <w:p w:rsidR="00206F33" w:rsidRDefault="00FF1090">
    <w:pPr>
      <w:tabs>
        <w:tab w:val="center" w:pos="4680"/>
        <w:tab w:val="right" w:pos="9360"/>
      </w:tabs>
      <w:spacing w:after="0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>(Rebidding)</w:t>
    </w:r>
  </w:p>
  <w:p w:rsidR="00206F33" w:rsidRDefault="00FF1090">
    <w:pPr>
      <w:tabs>
        <w:tab w:val="center" w:pos="4680"/>
        <w:tab w:val="right" w:pos="9360"/>
      </w:tabs>
      <w:spacing w:after="0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>November</w:t>
    </w:r>
    <w:r>
      <w:rPr>
        <w:rFonts w:ascii="Times New Roman" w:eastAsia="Times New Roman" w:hAnsi="Times New Roman" w:cs="Times New Roman"/>
        <w:i/>
        <w:sz w:val="16"/>
        <w:szCs w:val="16"/>
      </w:rPr>
      <w:t xml:space="preserve"> 2017</w:t>
    </w:r>
  </w:p>
  <w:p w:rsidR="00206F33" w:rsidRDefault="00206F33">
    <w:pPr>
      <w:tabs>
        <w:tab w:val="center" w:pos="4680"/>
        <w:tab w:val="right" w:pos="9360"/>
      </w:tabs>
      <w:spacing w:after="0"/>
      <w:rPr>
        <w:rFonts w:ascii="Times New Roman" w:eastAsia="Times New Roman" w:hAnsi="Times New Roman" w:cs="Times New Roman"/>
        <w:sz w:val="16"/>
        <w:szCs w:val="16"/>
      </w:rPr>
    </w:pPr>
  </w:p>
  <w:p w:rsidR="00206F33" w:rsidRDefault="00206F33">
    <w:pPr>
      <w:tabs>
        <w:tab w:val="center" w:pos="4680"/>
        <w:tab w:val="right" w:pos="9360"/>
      </w:tabs>
      <w:jc w:val="center"/>
    </w:pPr>
  </w:p>
  <w:p w:rsidR="00206F33" w:rsidRDefault="00206F33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90" w:rsidRDefault="00FF1090">
      <w:pPr>
        <w:spacing w:after="0" w:line="240" w:lineRule="auto"/>
      </w:pPr>
      <w:r>
        <w:separator/>
      </w:r>
    </w:p>
  </w:footnote>
  <w:footnote w:type="continuationSeparator" w:id="0">
    <w:p w:rsidR="00FF1090" w:rsidRDefault="00FF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C70"/>
    <w:multiLevelType w:val="multilevel"/>
    <w:tmpl w:val="8C60AE7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3802AB2"/>
    <w:multiLevelType w:val="multilevel"/>
    <w:tmpl w:val="6AEE85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3"/>
    <w:rsid w:val="00206F33"/>
    <w:rsid w:val="004C28B1"/>
    <w:rsid w:val="004E5462"/>
    <w:rsid w:val="00546867"/>
    <w:rsid w:val="006378CD"/>
    <w:rsid w:val="008D23B9"/>
    <w:rsid w:val="00A86C66"/>
    <w:rsid w:val="00C87417"/>
    <w:rsid w:val="00E87975"/>
    <w:rsid w:val="00E9423E"/>
    <w:rsid w:val="00EA6FB3"/>
    <w:rsid w:val="00FD46A1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85E93D-9268-4BE7-910E-0229CDC1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6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75"/>
  </w:style>
  <w:style w:type="paragraph" w:styleId="Footer">
    <w:name w:val="footer"/>
    <w:basedOn w:val="Normal"/>
    <w:link w:val="FooterChar"/>
    <w:uiPriority w:val="99"/>
    <w:unhideWhenUsed/>
    <w:rsid w:val="00E8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Merlinda A. Parducho</dc:creator>
  <cp:lastModifiedBy>Merlinda A. Parducho</cp:lastModifiedBy>
  <cp:revision>8</cp:revision>
  <dcterms:created xsi:type="dcterms:W3CDTF">2017-11-24T03:05:00Z</dcterms:created>
  <dcterms:modified xsi:type="dcterms:W3CDTF">2017-11-24T04:17:00Z</dcterms:modified>
</cp:coreProperties>
</file>